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B2" w:rsidRDefault="00836093">
      <w:pPr>
        <w:widowControl w:val="0"/>
        <w:spacing w:after="0" w:line="276" w:lineRule="auto"/>
        <w:jc w:val="center"/>
        <w:rPr>
          <w:b/>
          <w:sz w:val="28"/>
          <w:szCs w:val="28"/>
        </w:rPr>
      </w:pPr>
      <w:bookmarkStart w:id="0" w:name="_heading=h.gjdgxs" w:colFirst="0" w:colLast="0"/>
      <w:bookmarkStart w:id="1" w:name="_GoBack"/>
      <w:bookmarkEnd w:id="0"/>
      <w:bookmarkEnd w:id="1"/>
      <w:r>
        <w:rPr>
          <w:b/>
          <w:sz w:val="28"/>
          <w:szCs w:val="28"/>
        </w:rPr>
        <w:t xml:space="preserve">RESOURCE REQUEST: </w:t>
      </w:r>
    </w:p>
    <w:p w:rsidR="008319B2" w:rsidRDefault="00836093">
      <w:pPr>
        <w:widowControl w:val="0"/>
        <w:spacing w:after="0" w:line="276" w:lineRule="auto"/>
        <w:jc w:val="center"/>
        <w:rPr>
          <w:b/>
          <w:sz w:val="28"/>
          <w:szCs w:val="28"/>
        </w:rPr>
      </w:pPr>
      <w:r>
        <w:rPr>
          <w:b/>
          <w:sz w:val="28"/>
          <w:szCs w:val="28"/>
        </w:rPr>
        <w:t xml:space="preserve"> HCI 3 INNOVATION &amp; AGILITY PROJECTS</w:t>
      </w:r>
    </w:p>
    <w:p w:rsidR="008319B2" w:rsidRDefault="008319B2">
      <w:pPr>
        <w:widowControl w:val="0"/>
        <w:spacing w:after="0" w:line="276" w:lineRule="auto"/>
        <w:rPr>
          <w:b/>
        </w:rPr>
      </w:pPr>
    </w:p>
    <w:p w:rsidR="008319B2" w:rsidRDefault="00836093">
      <w:pPr>
        <w:widowControl w:val="0"/>
        <w:spacing w:after="0" w:line="276" w:lineRule="auto"/>
        <w:jc w:val="both"/>
      </w:pPr>
      <w:r>
        <w:rPr>
          <w:b/>
        </w:rPr>
        <w:t xml:space="preserve">Purpose </w:t>
      </w:r>
      <w:r>
        <w:t xml:space="preserve"> The purpose of this document is for Faculties/Units to describe the immediate resources required for their HCI 3 projects. </w:t>
      </w:r>
    </w:p>
    <w:p w:rsidR="008319B2" w:rsidRDefault="008319B2">
      <w:pPr>
        <w:widowControl w:val="0"/>
        <w:spacing w:after="0" w:line="276" w:lineRule="auto"/>
        <w:jc w:val="both"/>
      </w:pPr>
    </w:p>
    <w:p w:rsidR="008319B2" w:rsidRDefault="00836093">
      <w:pPr>
        <w:widowControl w:val="0"/>
        <w:spacing w:after="0" w:line="276" w:lineRule="auto"/>
        <w:jc w:val="both"/>
        <w:rPr>
          <w:i/>
        </w:rPr>
      </w:pPr>
      <w:r>
        <w:rPr>
          <w:b/>
        </w:rPr>
        <w:t xml:space="preserve">Resource Request  </w:t>
      </w:r>
      <w:r>
        <w:t>The table below is to be completed by the Executive Dean (or equivalent position) in the area in which the resource request arises:</w:t>
      </w:r>
    </w:p>
    <w:tbl>
      <w:tblPr>
        <w:tblStyle w:val="ac"/>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5205"/>
      </w:tblGrid>
      <w:tr w:rsidR="008319B2">
        <w:tc>
          <w:tcPr>
            <w:tcW w:w="3810" w:type="dxa"/>
          </w:tcPr>
          <w:p w:rsidR="008319B2" w:rsidRDefault="00836093">
            <w:pPr>
              <w:rPr>
                <w:b/>
              </w:rPr>
            </w:pPr>
            <w:r>
              <w:rPr>
                <w:b/>
              </w:rPr>
              <w:t>Proposed Home School / Unit</w:t>
            </w:r>
          </w:p>
        </w:tc>
        <w:tc>
          <w:tcPr>
            <w:tcW w:w="5205" w:type="dxa"/>
          </w:tcPr>
          <w:p w:rsidR="008319B2" w:rsidRDefault="008319B2"/>
        </w:tc>
      </w:tr>
      <w:tr w:rsidR="008319B2">
        <w:tc>
          <w:tcPr>
            <w:tcW w:w="3810" w:type="dxa"/>
          </w:tcPr>
          <w:p w:rsidR="008319B2" w:rsidRDefault="00836093">
            <w:pPr>
              <w:rPr>
                <w:b/>
              </w:rPr>
            </w:pPr>
            <w:r>
              <w:rPr>
                <w:b/>
              </w:rPr>
              <w:t>HCI 3 Project</w:t>
            </w:r>
          </w:p>
        </w:tc>
        <w:tc>
          <w:tcPr>
            <w:tcW w:w="5205" w:type="dxa"/>
          </w:tcPr>
          <w:p w:rsidR="008319B2" w:rsidRDefault="00836093">
            <w:pPr>
              <w:rPr>
                <w:sz w:val="20"/>
                <w:szCs w:val="20"/>
              </w:rPr>
            </w:pPr>
            <w:r>
              <w:rPr>
                <w:sz w:val="28"/>
                <w:szCs w:val="28"/>
              </w:rPr>
              <w:t xml:space="preserve">□ </w:t>
            </w:r>
            <w:r>
              <w:rPr>
                <w:sz w:val="20"/>
                <w:szCs w:val="20"/>
              </w:rPr>
              <w:t xml:space="preserve">DCU Futures contract: ID 18395622  (DCU-led)   </w:t>
            </w:r>
          </w:p>
          <w:p w:rsidR="008319B2" w:rsidRDefault="00836093">
            <w:pPr>
              <w:rPr>
                <w:sz w:val="20"/>
                <w:szCs w:val="20"/>
              </w:rPr>
            </w:pPr>
            <w:r>
              <w:rPr>
                <w:sz w:val="28"/>
                <w:szCs w:val="28"/>
              </w:rPr>
              <w:t xml:space="preserve">□ </w:t>
            </w:r>
            <w:r>
              <w:rPr>
                <w:sz w:val="20"/>
                <w:szCs w:val="20"/>
              </w:rPr>
              <w:t>Microcredentials project (MC2): ID 17938384  (IUA-led)</w:t>
            </w:r>
          </w:p>
          <w:p w:rsidR="008319B2" w:rsidRDefault="00836093">
            <w:pPr>
              <w:rPr>
                <w:sz w:val="20"/>
                <w:szCs w:val="20"/>
              </w:rPr>
            </w:pPr>
            <w:r>
              <w:rPr>
                <w:sz w:val="28"/>
                <w:szCs w:val="28"/>
              </w:rPr>
              <w:t xml:space="preserve">□ </w:t>
            </w:r>
            <w:r>
              <w:rPr>
                <w:sz w:val="20"/>
                <w:szCs w:val="20"/>
              </w:rPr>
              <w:t>RPL project: ID 18387644  (THEA led)</w:t>
            </w:r>
          </w:p>
          <w:p w:rsidR="008319B2" w:rsidRDefault="00836093">
            <w:pPr>
              <w:rPr>
                <w:sz w:val="20"/>
                <w:szCs w:val="20"/>
              </w:rPr>
            </w:pPr>
            <w:r>
              <w:rPr>
                <w:sz w:val="28"/>
                <w:szCs w:val="28"/>
              </w:rPr>
              <w:t xml:space="preserve">□ </w:t>
            </w:r>
            <w:r>
              <w:rPr>
                <w:sz w:val="20"/>
                <w:szCs w:val="20"/>
              </w:rPr>
              <w:t>Virtual Labs project: ID 16698436  (MU led)</w:t>
            </w:r>
          </w:p>
          <w:p w:rsidR="008319B2" w:rsidRDefault="00836093">
            <w:pPr>
              <w:widowControl w:val="0"/>
              <w:rPr>
                <w:sz w:val="28"/>
                <w:szCs w:val="28"/>
              </w:rPr>
            </w:pPr>
            <w:r>
              <w:rPr>
                <w:sz w:val="28"/>
                <w:szCs w:val="28"/>
              </w:rPr>
              <w:t xml:space="preserve">□ </w:t>
            </w:r>
            <w:r>
              <w:rPr>
                <w:sz w:val="20"/>
                <w:szCs w:val="20"/>
              </w:rPr>
              <w:t>PGCert Innovative Materials: ID 17884187  (IT Carlow led)</w:t>
            </w:r>
          </w:p>
        </w:tc>
      </w:tr>
      <w:tr w:rsidR="008319B2">
        <w:tc>
          <w:tcPr>
            <w:tcW w:w="3810" w:type="dxa"/>
          </w:tcPr>
          <w:p w:rsidR="008319B2" w:rsidRDefault="00836093">
            <w:r>
              <w:rPr>
                <w:b/>
              </w:rPr>
              <w:t>Contribution to project and alignment with work package plan</w:t>
            </w:r>
          </w:p>
        </w:tc>
        <w:tc>
          <w:tcPr>
            <w:tcW w:w="5205" w:type="dxa"/>
          </w:tcPr>
          <w:p w:rsidR="008319B2" w:rsidRDefault="008319B2"/>
        </w:tc>
      </w:tr>
      <w:tr w:rsidR="008319B2">
        <w:tc>
          <w:tcPr>
            <w:tcW w:w="3810" w:type="dxa"/>
          </w:tcPr>
          <w:p w:rsidR="008319B2" w:rsidRDefault="00836093">
            <w:pPr>
              <w:rPr>
                <w:b/>
              </w:rPr>
            </w:pPr>
            <w:r>
              <w:rPr>
                <w:b/>
              </w:rPr>
              <w:t>Proposed start date</w:t>
            </w:r>
          </w:p>
        </w:tc>
        <w:tc>
          <w:tcPr>
            <w:tcW w:w="5205" w:type="dxa"/>
          </w:tcPr>
          <w:p w:rsidR="008319B2" w:rsidRDefault="008319B2"/>
        </w:tc>
      </w:tr>
      <w:tr w:rsidR="008319B2">
        <w:tc>
          <w:tcPr>
            <w:tcW w:w="3810" w:type="dxa"/>
          </w:tcPr>
          <w:p w:rsidR="008319B2" w:rsidRDefault="00836093">
            <w:r>
              <w:rPr>
                <w:b/>
              </w:rPr>
              <w:t>Contract Duration</w:t>
            </w:r>
          </w:p>
        </w:tc>
        <w:tc>
          <w:tcPr>
            <w:tcW w:w="5205" w:type="dxa"/>
          </w:tcPr>
          <w:p w:rsidR="008319B2" w:rsidRDefault="008319B2"/>
        </w:tc>
      </w:tr>
      <w:tr w:rsidR="008319B2">
        <w:tc>
          <w:tcPr>
            <w:tcW w:w="3810" w:type="dxa"/>
          </w:tcPr>
          <w:p w:rsidR="008319B2" w:rsidRDefault="00836093">
            <w:r>
              <w:rPr>
                <w:b/>
              </w:rPr>
              <w:t>Specify the Resource required</w:t>
            </w:r>
            <w:r>
              <w:t xml:space="preserve"> (e.g. Assistant Lecturer, Grade V Administrator etc.) and time fraction (e.g. FTE 0.5) over the life of the project)</w:t>
            </w:r>
          </w:p>
        </w:tc>
        <w:tc>
          <w:tcPr>
            <w:tcW w:w="5205" w:type="dxa"/>
          </w:tcPr>
          <w:p w:rsidR="008319B2" w:rsidRDefault="00836093">
            <w:r>
              <w:rPr>
                <w:b/>
              </w:rPr>
              <w:t xml:space="preserve">Grade: </w:t>
            </w:r>
          </w:p>
          <w:p w:rsidR="008319B2" w:rsidRDefault="00836093">
            <w:r>
              <w:rPr>
                <w:b/>
              </w:rPr>
              <w:t xml:space="preserve">Code: </w:t>
            </w:r>
          </w:p>
          <w:p w:rsidR="008319B2" w:rsidRDefault="00836093">
            <w:r>
              <w:rPr>
                <w:b/>
              </w:rPr>
              <w:t>FTE:</w:t>
            </w:r>
            <w:r>
              <w:t xml:space="preserve"> </w:t>
            </w:r>
          </w:p>
          <w:p w:rsidR="008319B2" w:rsidRDefault="008319B2"/>
        </w:tc>
      </w:tr>
      <w:tr w:rsidR="008319B2">
        <w:tc>
          <w:tcPr>
            <w:tcW w:w="3810" w:type="dxa"/>
          </w:tcPr>
          <w:p w:rsidR="008319B2" w:rsidRDefault="00836093">
            <w:r>
              <w:rPr>
                <w:b/>
              </w:rPr>
              <w:t xml:space="preserve">Reporting to </w:t>
            </w:r>
            <w:r>
              <w:t>(name and position. e.g. Joe Bloggs, Head of School/Head of Unit).</w:t>
            </w:r>
          </w:p>
        </w:tc>
        <w:tc>
          <w:tcPr>
            <w:tcW w:w="5205" w:type="dxa"/>
          </w:tcPr>
          <w:p w:rsidR="008319B2" w:rsidRDefault="008319B2"/>
        </w:tc>
      </w:tr>
      <w:tr w:rsidR="008319B2">
        <w:tc>
          <w:tcPr>
            <w:tcW w:w="3810" w:type="dxa"/>
          </w:tcPr>
          <w:p w:rsidR="008319B2" w:rsidRDefault="00836093">
            <w:r>
              <w:rPr>
                <w:b/>
              </w:rPr>
              <w:t>Estimated Total cost of resource requested</w:t>
            </w:r>
            <w:r>
              <w:t xml:space="preserve"> (excl. PRSI) Please refer to DCU current pay scales: </w:t>
            </w:r>
            <w:hyperlink r:id="rId7">
              <w:r>
                <w:rPr>
                  <w:color w:val="0000FF"/>
                  <w:u w:val="single"/>
                </w:rPr>
                <w:t>https://www.dcu.ie/finance/pay-scales-finance</w:t>
              </w:r>
            </w:hyperlink>
            <w:r>
              <w:t xml:space="preserve"> </w:t>
            </w:r>
          </w:p>
        </w:tc>
        <w:tc>
          <w:tcPr>
            <w:tcW w:w="5205" w:type="dxa"/>
          </w:tcPr>
          <w:p w:rsidR="008319B2" w:rsidRDefault="00836093">
            <w:r>
              <w:t xml:space="preserve">Pay range €? to €? over ? years and ? months. Total cost of resource depends on entry into the pay scale and progression. </w:t>
            </w:r>
          </w:p>
          <w:p w:rsidR="008319B2" w:rsidRDefault="008319B2"/>
          <w:p w:rsidR="008319B2" w:rsidRDefault="00836093">
            <w:r>
              <w:t>Total Investment €? to €?</w:t>
            </w:r>
          </w:p>
          <w:p w:rsidR="008319B2" w:rsidRDefault="00836093">
            <w:r>
              <w:t>(Workings €? - €? x ? years &amp; ? months, indexing excluded)</w:t>
            </w:r>
          </w:p>
        </w:tc>
      </w:tr>
      <w:tr w:rsidR="008319B2">
        <w:trPr>
          <w:trHeight w:val="855"/>
        </w:trPr>
        <w:tc>
          <w:tcPr>
            <w:tcW w:w="3810" w:type="dxa"/>
          </w:tcPr>
          <w:p w:rsidR="008319B2" w:rsidRDefault="00836093">
            <w:pPr>
              <w:widowControl w:val="0"/>
            </w:pPr>
            <w:r>
              <w:rPr>
                <w:b/>
              </w:rPr>
              <w:t>Issues/Challenges</w:t>
            </w:r>
            <w:r>
              <w:t xml:space="preserve"> (e.g. are there any issues or challenges that need to be noted or overcome with recruitment)</w:t>
            </w:r>
          </w:p>
        </w:tc>
        <w:tc>
          <w:tcPr>
            <w:tcW w:w="5205" w:type="dxa"/>
          </w:tcPr>
          <w:p w:rsidR="008319B2" w:rsidRDefault="008319B2">
            <w:pPr>
              <w:widowControl w:val="0"/>
            </w:pPr>
          </w:p>
        </w:tc>
      </w:tr>
      <w:tr w:rsidR="008319B2">
        <w:tc>
          <w:tcPr>
            <w:tcW w:w="3810" w:type="dxa"/>
          </w:tcPr>
          <w:p w:rsidR="008319B2" w:rsidRDefault="00836093">
            <w:pPr>
              <w:widowControl w:val="0"/>
            </w:pPr>
            <w:r>
              <w:rPr>
                <w:b/>
              </w:rPr>
              <w:t>Existing School/Unit resource(s)</w:t>
            </w:r>
            <w:r>
              <w:t xml:space="preserve"> which will be supported to work on the HCI project as a direct impact of this added capacity.</w:t>
            </w:r>
          </w:p>
        </w:tc>
        <w:tc>
          <w:tcPr>
            <w:tcW w:w="5205" w:type="dxa"/>
          </w:tcPr>
          <w:p w:rsidR="008319B2" w:rsidRDefault="008319B2">
            <w:pPr>
              <w:widowControl w:val="0"/>
            </w:pPr>
          </w:p>
        </w:tc>
      </w:tr>
    </w:tbl>
    <w:p w:rsidR="008319B2" w:rsidRDefault="008319B2">
      <w:pPr>
        <w:spacing w:after="0" w:line="240" w:lineRule="auto"/>
        <w:jc w:val="both"/>
        <w:rPr>
          <w:b/>
          <w:sz w:val="21"/>
          <w:szCs w:val="21"/>
        </w:rPr>
      </w:pPr>
    </w:p>
    <w:p w:rsidR="008319B2" w:rsidRDefault="00836093">
      <w:pPr>
        <w:spacing w:after="0" w:line="240" w:lineRule="auto"/>
        <w:jc w:val="both"/>
        <w:rPr>
          <w:sz w:val="21"/>
          <w:szCs w:val="21"/>
        </w:rPr>
      </w:pPr>
      <w:r>
        <w:rPr>
          <w:b/>
          <w:sz w:val="21"/>
          <w:szCs w:val="21"/>
        </w:rPr>
        <w:t xml:space="preserve">Commitment   </w:t>
      </w:r>
      <w:r>
        <w:rPr>
          <w:sz w:val="21"/>
          <w:szCs w:val="21"/>
        </w:rPr>
        <w:t>In this context, it is agreed that the Faculty/Unit will play an active role in realising the range of HCI Pillar 3 deliverables and commits to:</w:t>
      </w:r>
    </w:p>
    <w:p w:rsidR="008319B2" w:rsidRDefault="008319B2">
      <w:pPr>
        <w:spacing w:after="0" w:line="240" w:lineRule="auto"/>
        <w:rPr>
          <w:sz w:val="21"/>
          <w:szCs w:val="21"/>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8319B2">
        <w:tc>
          <w:tcPr>
            <w:tcW w:w="1980" w:type="dxa"/>
          </w:tcPr>
          <w:p w:rsidR="008319B2" w:rsidRDefault="00836093">
            <w:pPr>
              <w:jc w:val="both"/>
              <w:rPr>
                <w:sz w:val="24"/>
                <w:szCs w:val="24"/>
              </w:rPr>
            </w:pPr>
            <w:r>
              <w:rPr>
                <w:b/>
                <w:sz w:val="21"/>
                <w:szCs w:val="21"/>
              </w:rPr>
              <w:lastRenderedPageBreak/>
              <w:t>Programme &amp; Project Delivery</w:t>
            </w:r>
          </w:p>
        </w:tc>
        <w:tc>
          <w:tcPr>
            <w:tcW w:w="7036" w:type="dxa"/>
          </w:tcPr>
          <w:p w:rsidR="008319B2" w:rsidRDefault="00836093">
            <w:pPr>
              <w:jc w:val="both"/>
              <w:rPr>
                <w:sz w:val="24"/>
                <w:szCs w:val="24"/>
              </w:rPr>
            </w:pPr>
            <w:r>
              <w:t>Ensure objectives are met across the lifecycle of the project, including the developing, delivering and monitoring of academic programmes / microcredentials / specific projects. </w:t>
            </w:r>
          </w:p>
          <w:p w:rsidR="008319B2" w:rsidRDefault="00836093">
            <w:pPr>
              <w:jc w:val="both"/>
              <w:rPr>
                <w:sz w:val="24"/>
                <w:szCs w:val="24"/>
              </w:rPr>
            </w:pPr>
            <w:r>
              <w:t>Provide leadership, guidance and identified points of escalation for issues and challenges. </w:t>
            </w:r>
          </w:p>
        </w:tc>
      </w:tr>
      <w:tr w:rsidR="008319B2">
        <w:tc>
          <w:tcPr>
            <w:tcW w:w="1980" w:type="dxa"/>
          </w:tcPr>
          <w:p w:rsidR="008319B2" w:rsidRDefault="00836093">
            <w:pPr>
              <w:jc w:val="both"/>
              <w:rPr>
                <w:sz w:val="24"/>
                <w:szCs w:val="24"/>
              </w:rPr>
            </w:pPr>
            <w:r>
              <w:rPr>
                <w:b/>
              </w:rPr>
              <w:t>Capacity growth</w:t>
            </w:r>
          </w:p>
        </w:tc>
        <w:tc>
          <w:tcPr>
            <w:tcW w:w="7036" w:type="dxa"/>
          </w:tcPr>
          <w:p w:rsidR="008319B2" w:rsidRDefault="00836093">
            <w:pPr>
              <w:jc w:val="both"/>
              <w:rPr>
                <w:sz w:val="24"/>
                <w:szCs w:val="24"/>
              </w:rPr>
            </w:pPr>
            <w:r>
              <w:t>Monitor Faculty / Unit / External Institutional efforts to deliver targeted student registrations on new programmes / specialisms / microcredentials while, at a minimum, sustaining student numbers within existing courses collectively at March 2020 levels.  </w:t>
            </w:r>
          </w:p>
        </w:tc>
      </w:tr>
      <w:tr w:rsidR="008319B2">
        <w:tc>
          <w:tcPr>
            <w:tcW w:w="1980" w:type="dxa"/>
          </w:tcPr>
          <w:p w:rsidR="008319B2" w:rsidRDefault="00836093">
            <w:pPr>
              <w:jc w:val="both"/>
              <w:rPr>
                <w:sz w:val="24"/>
                <w:szCs w:val="24"/>
              </w:rPr>
            </w:pPr>
            <w:r>
              <w:rPr>
                <w:b/>
              </w:rPr>
              <w:t>Capability development</w:t>
            </w:r>
          </w:p>
        </w:tc>
        <w:tc>
          <w:tcPr>
            <w:tcW w:w="7036" w:type="dxa"/>
          </w:tcPr>
          <w:p w:rsidR="008319B2" w:rsidRDefault="00836093">
            <w:pPr>
              <w:jc w:val="both"/>
              <w:rPr>
                <w:sz w:val="24"/>
                <w:szCs w:val="24"/>
              </w:rPr>
            </w:pPr>
            <w:r>
              <w:t>Facilitate and monitor how impact of new approaches goes beyond the nominated programmes by involving a wide number of academics in the initiatives.   </w:t>
            </w:r>
          </w:p>
        </w:tc>
      </w:tr>
      <w:tr w:rsidR="008319B2">
        <w:tc>
          <w:tcPr>
            <w:tcW w:w="1980" w:type="dxa"/>
          </w:tcPr>
          <w:p w:rsidR="008319B2" w:rsidRDefault="00836093">
            <w:pPr>
              <w:jc w:val="both"/>
              <w:rPr>
                <w:sz w:val="24"/>
                <w:szCs w:val="24"/>
              </w:rPr>
            </w:pPr>
            <w:r>
              <w:rPr>
                <w:b/>
              </w:rPr>
              <w:t>Reporting</w:t>
            </w:r>
          </w:p>
        </w:tc>
        <w:tc>
          <w:tcPr>
            <w:tcW w:w="7036" w:type="dxa"/>
          </w:tcPr>
          <w:p w:rsidR="008319B2" w:rsidRDefault="00836093">
            <w:pPr>
              <w:jc w:val="both"/>
              <w:rPr>
                <w:sz w:val="24"/>
                <w:szCs w:val="24"/>
              </w:rPr>
            </w:pPr>
            <w:r>
              <w:t>Provide reporting to the programme management team and steering committees, engaging with financial management and oversight of the project in line with HCI terms and conditions</w:t>
            </w:r>
            <w:r>
              <w:rPr>
                <w:b/>
              </w:rPr>
              <w:t>. </w:t>
            </w:r>
          </w:p>
          <w:p w:rsidR="008319B2" w:rsidRDefault="00836093">
            <w:pPr>
              <w:jc w:val="both"/>
              <w:rPr>
                <w:sz w:val="24"/>
                <w:szCs w:val="24"/>
              </w:rPr>
            </w:pPr>
            <w:r>
              <w:t>Participate in institutional or project audits for the use of HCI funds awarded.</w:t>
            </w:r>
          </w:p>
        </w:tc>
      </w:tr>
      <w:tr w:rsidR="008319B2">
        <w:tc>
          <w:tcPr>
            <w:tcW w:w="1980" w:type="dxa"/>
          </w:tcPr>
          <w:p w:rsidR="008319B2" w:rsidRDefault="00836093">
            <w:pPr>
              <w:jc w:val="both"/>
              <w:rPr>
                <w:sz w:val="24"/>
                <w:szCs w:val="24"/>
              </w:rPr>
            </w:pPr>
            <w:r>
              <w:rPr>
                <w:b/>
              </w:rPr>
              <w:t>Stakeholder Management</w:t>
            </w:r>
          </w:p>
        </w:tc>
        <w:tc>
          <w:tcPr>
            <w:tcW w:w="7036" w:type="dxa"/>
          </w:tcPr>
          <w:p w:rsidR="008319B2" w:rsidRDefault="00836093">
            <w:pPr>
              <w:jc w:val="both"/>
              <w:rPr>
                <w:sz w:val="24"/>
                <w:szCs w:val="24"/>
              </w:rPr>
            </w:pPr>
            <w:r>
              <w:t>Play a part in the coordinated management of relationships with all internal and external key stakeholders to support development and delivery efforts, including the programme management team, the student recruitment team, other DCU faculties and units, external institution leads, and  enterprise partners. </w:t>
            </w:r>
          </w:p>
        </w:tc>
      </w:tr>
      <w:tr w:rsidR="008319B2">
        <w:tc>
          <w:tcPr>
            <w:tcW w:w="1980" w:type="dxa"/>
          </w:tcPr>
          <w:p w:rsidR="008319B2" w:rsidRDefault="00836093">
            <w:pPr>
              <w:jc w:val="both"/>
              <w:rPr>
                <w:sz w:val="24"/>
                <w:szCs w:val="24"/>
              </w:rPr>
            </w:pPr>
            <w:r>
              <w:rPr>
                <w:b/>
              </w:rPr>
              <w:t>Expert programme advice and support</w:t>
            </w:r>
          </w:p>
        </w:tc>
        <w:tc>
          <w:tcPr>
            <w:tcW w:w="7036" w:type="dxa"/>
          </w:tcPr>
          <w:p w:rsidR="008319B2" w:rsidRDefault="00836093">
            <w:pPr>
              <w:jc w:val="both"/>
              <w:rPr>
                <w:sz w:val="24"/>
                <w:szCs w:val="24"/>
              </w:rPr>
            </w:pPr>
            <w:r>
              <w:t>Provide expert advice and support to the programme / projects administration enable effective decision making and achievement of outcomes as set out in the HCI proposal. </w:t>
            </w:r>
          </w:p>
        </w:tc>
      </w:tr>
      <w:tr w:rsidR="008319B2">
        <w:tc>
          <w:tcPr>
            <w:tcW w:w="1980" w:type="dxa"/>
          </w:tcPr>
          <w:p w:rsidR="008319B2" w:rsidRDefault="00836093">
            <w:pPr>
              <w:jc w:val="both"/>
              <w:rPr>
                <w:sz w:val="24"/>
                <w:szCs w:val="24"/>
              </w:rPr>
            </w:pPr>
            <w:r>
              <w:rPr>
                <w:b/>
              </w:rPr>
              <w:t>Change Management</w:t>
            </w:r>
          </w:p>
        </w:tc>
        <w:tc>
          <w:tcPr>
            <w:tcW w:w="7036" w:type="dxa"/>
          </w:tcPr>
          <w:p w:rsidR="008319B2" w:rsidRDefault="00836093">
            <w:pPr>
              <w:jc w:val="both"/>
              <w:rPr>
                <w:sz w:val="24"/>
                <w:szCs w:val="24"/>
              </w:rPr>
            </w:pPr>
            <w:r>
              <w:t>Deliver strategic change with peers and senior internal staff through a combination of project and business-as-usual activity; balancing competing priorities within resources.</w:t>
            </w:r>
          </w:p>
        </w:tc>
      </w:tr>
      <w:tr w:rsidR="008319B2">
        <w:tc>
          <w:tcPr>
            <w:tcW w:w="1980" w:type="dxa"/>
          </w:tcPr>
          <w:p w:rsidR="008319B2" w:rsidRDefault="00836093">
            <w:pPr>
              <w:jc w:val="both"/>
              <w:rPr>
                <w:sz w:val="24"/>
                <w:szCs w:val="24"/>
              </w:rPr>
            </w:pPr>
            <w:r>
              <w:rPr>
                <w:b/>
              </w:rPr>
              <w:t>Governance</w:t>
            </w:r>
          </w:p>
        </w:tc>
        <w:tc>
          <w:tcPr>
            <w:tcW w:w="7036" w:type="dxa"/>
          </w:tcPr>
          <w:p w:rsidR="008319B2" w:rsidRDefault="00836093">
            <w:pPr>
              <w:jc w:val="both"/>
              <w:rPr>
                <w:sz w:val="24"/>
                <w:szCs w:val="24"/>
              </w:rPr>
            </w:pPr>
            <w:r>
              <w:t>Support governance and programme/project committee requirements by working closely with steering committees, programme management team and/or external institution leads.</w:t>
            </w:r>
          </w:p>
        </w:tc>
      </w:tr>
    </w:tbl>
    <w:p w:rsidR="008319B2" w:rsidRDefault="008319B2">
      <w:pPr>
        <w:spacing w:after="0" w:line="240" w:lineRule="auto"/>
        <w:rPr>
          <w:sz w:val="21"/>
          <w:szCs w:val="21"/>
        </w:rPr>
      </w:pPr>
    </w:p>
    <w:p w:rsidR="008319B2" w:rsidRDefault="00836093">
      <w:pPr>
        <w:spacing w:after="0" w:line="240" w:lineRule="auto"/>
        <w:rPr>
          <w:sz w:val="21"/>
          <w:szCs w:val="21"/>
        </w:rPr>
      </w:pPr>
      <w:r>
        <w:rPr>
          <w:b/>
        </w:rPr>
        <w:t>Approval</w:t>
      </w:r>
    </w:p>
    <w:tbl>
      <w:tblPr>
        <w:tblStyle w:val="ae"/>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3165"/>
      </w:tblGrid>
      <w:tr w:rsidR="008319B2">
        <w:tc>
          <w:tcPr>
            <w:tcW w:w="5850" w:type="dxa"/>
          </w:tcPr>
          <w:p w:rsidR="008319B2" w:rsidRDefault="00836093">
            <w:pPr>
              <w:rPr>
                <w:b/>
              </w:rPr>
            </w:pPr>
            <w:r>
              <w:rPr>
                <w:b/>
              </w:rPr>
              <w:t xml:space="preserve">Signed: </w:t>
            </w:r>
          </w:p>
          <w:p w:rsidR="008319B2" w:rsidRDefault="008319B2">
            <w:pPr>
              <w:rPr>
                <w:b/>
              </w:rPr>
            </w:pPr>
          </w:p>
        </w:tc>
        <w:tc>
          <w:tcPr>
            <w:tcW w:w="3165" w:type="dxa"/>
          </w:tcPr>
          <w:p w:rsidR="008319B2" w:rsidRDefault="00836093">
            <w:pPr>
              <w:rPr>
                <w:b/>
                <w:sz w:val="24"/>
                <w:szCs w:val="24"/>
              </w:rPr>
            </w:pPr>
            <w:r>
              <w:rPr>
                <w:b/>
              </w:rPr>
              <w:t xml:space="preserve">Date: </w:t>
            </w:r>
          </w:p>
        </w:tc>
      </w:tr>
      <w:tr w:rsidR="008319B2">
        <w:trPr>
          <w:trHeight w:val="250"/>
        </w:trPr>
        <w:tc>
          <w:tcPr>
            <w:tcW w:w="9015" w:type="dxa"/>
            <w:gridSpan w:val="2"/>
          </w:tcPr>
          <w:p w:rsidR="008319B2" w:rsidRDefault="00836093">
            <w:pPr>
              <w:rPr>
                <w:b/>
                <w:i/>
              </w:rPr>
            </w:pPr>
            <w:r>
              <w:rPr>
                <w:b/>
              </w:rPr>
              <w:t xml:space="preserve">Position: </w:t>
            </w:r>
            <w:r>
              <w:rPr>
                <w:b/>
                <w:i/>
              </w:rPr>
              <w:t>Executive Dean</w:t>
            </w:r>
          </w:p>
        </w:tc>
      </w:tr>
    </w:tbl>
    <w:p w:rsidR="008319B2" w:rsidRDefault="008319B2">
      <w:pPr>
        <w:spacing w:after="0" w:line="240" w:lineRule="auto"/>
        <w:rPr>
          <w:b/>
        </w:rPr>
      </w:pPr>
    </w:p>
    <w:p w:rsidR="008319B2" w:rsidRDefault="00836093">
      <w:pPr>
        <w:pBdr>
          <w:bottom w:val="single" w:sz="12" w:space="1" w:color="000000"/>
        </w:pBdr>
        <w:spacing w:after="0" w:line="240" w:lineRule="auto"/>
        <w:rPr>
          <w:i/>
        </w:rPr>
      </w:pPr>
      <w:r>
        <w:t>*</w:t>
      </w:r>
      <w:r>
        <w:rPr>
          <w:i/>
        </w:rPr>
        <w:t>To be completed by HCI Programme administration</w:t>
      </w: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19B2">
        <w:tc>
          <w:tcPr>
            <w:tcW w:w="4508" w:type="dxa"/>
          </w:tcPr>
          <w:p w:rsidR="008319B2" w:rsidRDefault="00836093">
            <w:pPr>
              <w:rPr>
                <w:sz w:val="18"/>
                <w:szCs w:val="18"/>
              </w:rPr>
            </w:pPr>
            <w:r>
              <w:rPr>
                <w:sz w:val="18"/>
                <w:szCs w:val="18"/>
              </w:rPr>
              <w:t>*Role</w:t>
            </w:r>
          </w:p>
        </w:tc>
        <w:tc>
          <w:tcPr>
            <w:tcW w:w="4508" w:type="dxa"/>
          </w:tcPr>
          <w:p w:rsidR="008319B2" w:rsidRDefault="00836093">
            <w:pPr>
              <w:rPr>
                <w:sz w:val="18"/>
                <w:szCs w:val="18"/>
              </w:rPr>
            </w:pPr>
            <w:r>
              <w:rPr>
                <w:sz w:val="18"/>
                <w:szCs w:val="18"/>
              </w:rPr>
              <w:t>*Reference(s)</w:t>
            </w:r>
          </w:p>
          <w:p w:rsidR="008319B2" w:rsidRDefault="00836093">
            <w:pPr>
              <w:rPr>
                <w:sz w:val="18"/>
                <w:szCs w:val="18"/>
              </w:rPr>
            </w:pPr>
            <w:r>
              <w:t>HCI3.M.1</w:t>
            </w:r>
          </w:p>
        </w:tc>
      </w:tr>
    </w:tbl>
    <w:p w:rsidR="008319B2" w:rsidRDefault="008319B2">
      <w:pPr>
        <w:widowControl w:val="0"/>
        <w:spacing w:after="0" w:line="276" w:lineRule="auto"/>
        <w:rPr>
          <w:rFonts w:ascii="Arial" w:eastAsia="Arial" w:hAnsi="Arial" w:cs="Arial"/>
        </w:rPr>
      </w:pPr>
    </w:p>
    <w:p w:rsidR="008319B2" w:rsidRDefault="008319B2">
      <w:pPr>
        <w:widowControl w:val="0"/>
        <w:pBdr>
          <w:top w:val="nil"/>
          <w:left w:val="nil"/>
          <w:bottom w:val="nil"/>
          <w:right w:val="nil"/>
          <w:between w:val="nil"/>
        </w:pBdr>
        <w:spacing w:after="0" w:line="276" w:lineRule="auto"/>
        <w:rPr>
          <w:b/>
        </w:rPr>
      </w:pPr>
    </w:p>
    <w:sectPr w:rsidR="008319B2">
      <w:headerReference w:type="default" r:id="rId8"/>
      <w:footerReference w:type="default" r:id="rId9"/>
      <w:pgSz w:w="11906" w:h="16838"/>
      <w:pgMar w:top="127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11" w:rsidRDefault="00150D11">
      <w:pPr>
        <w:spacing w:after="0" w:line="240" w:lineRule="auto"/>
      </w:pPr>
      <w:r>
        <w:separator/>
      </w:r>
    </w:p>
  </w:endnote>
  <w:endnote w:type="continuationSeparator" w:id="0">
    <w:p w:rsidR="00150D11" w:rsidRDefault="0015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B2" w:rsidRDefault="0083609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0DF6">
      <w:rPr>
        <w:noProof/>
        <w:color w:val="000000"/>
      </w:rPr>
      <w:t>1</w:t>
    </w:r>
    <w:r>
      <w:rPr>
        <w:color w:val="000000"/>
      </w:rPr>
      <w:fldChar w:fldCharType="end"/>
    </w:r>
  </w:p>
  <w:p w:rsidR="008319B2" w:rsidRDefault="00836093">
    <w:pPr>
      <w:pBdr>
        <w:top w:val="nil"/>
        <w:left w:val="nil"/>
        <w:bottom w:val="nil"/>
        <w:right w:val="nil"/>
        <w:between w:val="nil"/>
      </w:pBdr>
      <w:tabs>
        <w:tab w:val="center" w:pos="4513"/>
        <w:tab w:val="right" w:pos="9026"/>
      </w:tabs>
      <w:spacing w:after="0" w:line="240" w:lineRule="auto"/>
      <w:rPr>
        <w:i/>
        <w:color w:val="000000"/>
      </w:rPr>
    </w:pPr>
    <w:r>
      <w:rPr>
        <w:i/>
        <w:color w:val="000000"/>
      </w:rPr>
      <w:t>HCI 3 Innovation and Agility Resource Request</w:t>
    </w:r>
  </w:p>
  <w:p w:rsidR="008319B2" w:rsidRDefault="00836093">
    <w:pPr>
      <w:pBdr>
        <w:top w:val="nil"/>
        <w:left w:val="nil"/>
        <w:bottom w:val="nil"/>
        <w:right w:val="nil"/>
        <w:between w:val="nil"/>
      </w:pBdr>
      <w:tabs>
        <w:tab w:val="center" w:pos="4513"/>
        <w:tab w:val="right" w:pos="9026"/>
      </w:tabs>
      <w:spacing w:after="0" w:line="240" w:lineRule="auto"/>
      <w:rPr>
        <w:i/>
        <w:color w:val="000000"/>
      </w:rPr>
    </w:pPr>
    <w:r>
      <w:rPr>
        <w:i/>
      </w:rPr>
      <w:t>11</w:t>
    </w:r>
    <w:r>
      <w:rPr>
        <w:i/>
        <w:color w:val="000000"/>
      </w:rPr>
      <w:t xml:space="preserve"> </w:t>
    </w:r>
    <w:r>
      <w:rPr>
        <w:i/>
      </w:rPr>
      <w:t>March</w:t>
    </w:r>
    <w:r>
      <w:rPr>
        <w:i/>
        <w:color w:val="000000"/>
      </w:rPr>
      <w:t xml:space="preserve"> 202</w:t>
    </w:r>
    <w:r>
      <w:rPr>
        <w:i/>
      </w:rPr>
      <w:t>1</w:t>
    </w:r>
  </w:p>
  <w:p w:rsidR="008319B2" w:rsidRDefault="008319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11" w:rsidRDefault="00150D11">
      <w:pPr>
        <w:spacing w:after="0" w:line="240" w:lineRule="auto"/>
      </w:pPr>
      <w:r>
        <w:separator/>
      </w:r>
    </w:p>
  </w:footnote>
  <w:footnote w:type="continuationSeparator" w:id="0">
    <w:p w:rsidR="00150D11" w:rsidRDefault="00150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B2" w:rsidRDefault="00836093">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0" distB="0" distL="0" distR="0">
          <wp:extent cx="762110" cy="830034"/>
          <wp:effectExtent l="0" t="0" r="0" b="0"/>
          <wp:docPr id="7" name="image1.png" descr="https://www.dcu.ie/sites/default/files/marketing/images/dcu_logo_stacked_slate_yellow.png"/>
          <wp:cNvGraphicFramePr/>
          <a:graphic xmlns:a="http://schemas.openxmlformats.org/drawingml/2006/main">
            <a:graphicData uri="http://schemas.openxmlformats.org/drawingml/2006/picture">
              <pic:pic xmlns:pic="http://schemas.openxmlformats.org/drawingml/2006/picture">
                <pic:nvPicPr>
                  <pic:cNvPr id="0" name="image1.png" descr="https://www.dcu.ie/sites/default/files/marketing/images/dcu_logo_stacked_slate_yellow.png"/>
                  <pic:cNvPicPr preferRelativeResize="0"/>
                </pic:nvPicPr>
                <pic:blipFill>
                  <a:blip r:embed="rId1"/>
                  <a:srcRect/>
                  <a:stretch>
                    <a:fillRect/>
                  </a:stretch>
                </pic:blipFill>
                <pic:spPr>
                  <a:xfrm>
                    <a:off x="0" y="0"/>
                    <a:ext cx="762110" cy="830034"/>
                  </a:xfrm>
                  <a:prstGeom prst="rect">
                    <a:avLst/>
                  </a:prstGeom>
                  <a:ln/>
                </pic:spPr>
              </pic:pic>
            </a:graphicData>
          </a:graphic>
        </wp:inline>
      </w:drawing>
    </w:r>
  </w:p>
  <w:p w:rsidR="008319B2" w:rsidRDefault="008319B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B2"/>
    <w:rsid w:val="00085311"/>
    <w:rsid w:val="00150D11"/>
    <w:rsid w:val="004C0DF6"/>
    <w:rsid w:val="008319B2"/>
    <w:rsid w:val="008360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14053-DAAF-4B15-8776-9F61990F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AF2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5D4"/>
  </w:style>
  <w:style w:type="paragraph" w:styleId="Footer">
    <w:name w:val="footer"/>
    <w:basedOn w:val="Normal"/>
    <w:link w:val="FooterChar"/>
    <w:uiPriority w:val="99"/>
    <w:unhideWhenUsed/>
    <w:rsid w:val="00AF2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5D4"/>
  </w:style>
  <w:style w:type="table" w:styleId="TableGrid">
    <w:name w:val="Table Grid"/>
    <w:basedOn w:val="TableNormal"/>
    <w:uiPriority w:val="39"/>
    <w:rsid w:val="00AF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34E"/>
    <w:rPr>
      <w:color w:val="0000FF" w:themeColor="hyperlink"/>
      <w:u w:val="single"/>
    </w:r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cu.ie/finance/pay-scales-fina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75K/8z35WFE+zep/k0q51935TA==">AMUW2mWs5PQtKywfh6tuRFMKGGBbw+k+RTGVW2g9Nrm2dUr1Ey+Dl0usXGByl72b+zbYm22e88ZU9DkixP/L270sNwZRxdanN9dc2EPg5ru87/aPrEjf9OO+0qEAQV1rvqzyZWN0khHU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dc:creator>
  <cp:lastModifiedBy>Donna Kavanagh</cp:lastModifiedBy>
  <cp:revision>2</cp:revision>
  <dcterms:created xsi:type="dcterms:W3CDTF">2021-03-19T15:28:00Z</dcterms:created>
  <dcterms:modified xsi:type="dcterms:W3CDTF">2021-03-19T15:28:00Z</dcterms:modified>
</cp:coreProperties>
</file>