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00" w:rsidRPr="00C17D60" w:rsidRDefault="00836247" w:rsidP="00E97900">
      <w:pPr>
        <w:contextualSpacing/>
        <w:rPr>
          <w:rFonts w:asciiTheme="minorHAnsi" w:hAnsiTheme="minorHAnsi" w:cstheme="minorHAnsi"/>
        </w:rPr>
      </w:pPr>
      <w:bookmarkStart w:id="0" w:name="_GoBack"/>
      <w:bookmarkEnd w:id="0"/>
      <w:r>
        <w:rPr>
          <w:rFonts w:asciiTheme="minorHAnsi" w:hAnsiTheme="minorHAnsi" w:cstheme="minorHAnsi"/>
        </w:rPr>
        <w:t>DPE</w:t>
      </w:r>
      <w:r w:rsidR="00F45D85">
        <w:rPr>
          <w:rFonts w:asciiTheme="minorHAnsi" w:hAnsiTheme="minorHAnsi" w:cstheme="minorHAnsi"/>
        </w:rPr>
        <w:t>100/004/</w:t>
      </w:r>
      <w:r w:rsidR="00273B43">
        <w:rPr>
          <w:rFonts w:asciiTheme="minorHAnsi" w:hAnsiTheme="minorHAnsi" w:cstheme="minorHAnsi"/>
        </w:rPr>
        <w:t>201</w:t>
      </w:r>
      <w:r>
        <w:rPr>
          <w:rFonts w:asciiTheme="minorHAnsi" w:hAnsiTheme="minorHAnsi" w:cstheme="minorHAnsi"/>
        </w:rPr>
        <w:t>5</w:t>
      </w:r>
      <w:r w:rsidR="00E97900" w:rsidRPr="00C17D60">
        <w:rPr>
          <w:rFonts w:asciiTheme="minorHAnsi" w:hAnsiTheme="minorHAnsi" w:cstheme="minorHAnsi"/>
        </w:rPr>
        <w:tab/>
      </w:r>
      <w:r w:rsidR="00E97900" w:rsidRPr="00C17D60">
        <w:rPr>
          <w:rFonts w:asciiTheme="minorHAnsi" w:hAnsiTheme="minorHAnsi" w:cstheme="minorHAnsi"/>
        </w:rPr>
        <w:tab/>
      </w:r>
      <w:r w:rsidR="00E97900" w:rsidRPr="00C17D60">
        <w:rPr>
          <w:rFonts w:asciiTheme="minorHAnsi" w:hAnsiTheme="minorHAnsi" w:cstheme="minorHAnsi"/>
        </w:rPr>
        <w:tab/>
      </w:r>
    </w:p>
    <w:p w:rsidR="00E97900" w:rsidRDefault="00E97900" w:rsidP="002939EE">
      <w:pPr>
        <w:contextualSpacing/>
        <w:rPr>
          <w:rFonts w:asciiTheme="minorHAnsi" w:hAnsiTheme="minorHAnsi" w:cstheme="minorHAnsi"/>
        </w:rPr>
      </w:pPr>
    </w:p>
    <w:p w:rsidR="00E97900" w:rsidRPr="00C17D60" w:rsidRDefault="005C12F9" w:rsidP="002939EE">
      <w:pPr>
        <w:contextualSpacing/>
        <w:rPr>
          <w:rFonts w:asciiTheme="minorHAnsi" w:hAnsiTheme="minorHAnsi" w:cstheme="minorHAnsi"/>
        </w:rPr>
      </w:pPr>
      <w:r>
        <w:rPr>
          <w:rFonts w:asciiTheme="minorHAnsi" w:hAnsiTheme="minorHAnsi" w:cstheme="minorHAnsi"/>
        </w:rPr>
        <w:t>8</w:t>
      </w:r>
      <w:r w:rsidR="00E97900" w:rsidRPr="00C17D60">
        <w:rPr>
          <w:rFonts w:asciiTheme="minorHAnsi" w:hAnsiTheme="minorHAnsi" w:cstheme="minorHAnsi"/>
        </w:rPr>
        <w:t xml:space="preserve"> </w:t>
      </w:r>
      <w:r w:rsidR="00537383">
        <w:rPr>
          <w:rFonts w:asciiTheme="minorHAnsi" w:hAnsiTheme="minorHAnsi" w:cstheme="minorHAnsi"/>
        </w:rPr>
        <w:t>December</w:t>
      </w:r>
      <w:r w:rsidR="00F45D85">
        <w:rPr>
          <w:rFonts w:asciiTheme="minorHAnsi" w:hAnsiTheme="minorHAnsi" w:cstheme="minorHAnsi"/>
        </w:rPr>
        <w:t xml:space="preserve"> </w:t>
      </w:r>
      <w:r w:rsidR="00E97900" w:rsidRPr="00C17D60">
        <w:rPr>
          <w:rFonts w:asciiTheme="minorHAnsi" w:hAnsiTheme="minorHAnsi" w:cstheme="minorHAnsi"/>
        </w:rPr>
        <w:t>201</w:t>
      </w:r>
      <w:r w:rsidR="00C05BF3">
        <w:rPr>
          <w:rFonts w:asciiTheme="minorHAnsi" w:hAnsiTheme="minorHAnsi" w:cstheme="minorHAnsi"/>
        </w:rPr>
        <w:t>5</w:t>
      </w:r>
    </w:p>
    <w:p w:rsidR="00E97900" w:rsidRDefault="00E97900" w:rsidP="002939EE">
      <w:pPr>
        <w:contextualSpacing/>
        <w:rPr>
          <w:rFonts w:asciiTheme="minorHAnsi" w:hAnsiTheme="minorHAnsi" w:cstheme="minorHAnsi"/>
          <w:b/>
        </w:rPr>
      </w:pPr>
    </w:p>
    <w:p w:rsidR="007354C0" w:rsidRDefault="007354C0" w:rsidP="002939EE">
      <w:pPr>
        <w:contextualSpacing/>
        <w:rPr>
          <w:rFonts w:asciiTheme="minorHAnsi" w:hAnsiTheme="minorHAnsi" w:cstheme="minorHAnsi"/>
        </w:rPr>
      </w:pPr>
    </w:p>
    <w:p w:rsidR="000D2C42" w:rsidRDefault="00F45D85" w:rsidP="002939EE">
      <w:pPr>
        <w:contextualSpacing/>
        <w:rPr>
          <w:rFonts w:asciiTheme="minorHAnsi" w:hAnsiTheme="minorHAnsi" w:cstheme="minorHAnsi"/>
          <w:b/>
        </w:rPr>
      </w:pPr>
      <w:r>
        <w:rPr>
          <w:rFonts w:asciiTheme="minorHAnsi" w:hAnsiTheme="minorHAnsi" w:cstheme="minorHAnsi"/>
        </w:rPr>
        <w:t>To: Public Service Employers and Pension-Paying Authorities</w:t>
      </w:r>
    </w:p>
    <w:p w:rsidR="00D871F4" w:rsidRDefault="00D871F4" w:rsidP="00AE6D23">
      <w:pPr>
        <w:contextualSpacing/>
        <w:jc w:val="both"/>
        <w:rPr>
          <w:rFonts w:asciiTheme="minorHAnsi" w:hAnsiTheme="minorHAnsi" w:cstheme="minorHAnsi"/>
          <w:b/>
        </w:rPr>
      </w:pPr>
    </w:p>
    <w:p w:rsidR="005A6983" w:rsidRDefault="005A6983" w:rsidP="00AE6D23">
      <w:pPr>
        <w:contextualSpacing/>
        <w:jc w:val="both"/>
        <w:rPr>
          <w:rFonts w:asciiTheme="minorHAnsi" w:hAnsiTheme="minorHAnsi" w:cstheme="minorHAnsi"/>
          <w:b/>
        </w:rPr>
      </w:pPr>
    </w:p>
    <w:p w:rsidR="00F45D85" w:rsidRDefault="001C7E5C" w:rsidP="00AE6D23">
      <w:pPr>
        <w:contextualSpacing/>
        <w:jc w:val="both"/>
        <w:rPr>
          <w:rFonts w:asciiTheme="minorHAnsi" w:hAnsiTheme="minorHAnsi" w:cstheme="minorHAnsi"/>
          <w:b/>
        </w:rPr>
      </w:pPr>
      <w:r w:rsidRPr="00803A28">
        <w:rPr>
          <w:rFonts w:asciiTheme="minorHAnsi" w:hAnsiTheme="minorHAnsi" w:cstheme="minorHAnsi"/>
          <w:b/>
        </w:rPr>
        <w:t xml:space="preserve">Circular </w:t>
      </w:r>
      <w:r w:rsidR="005A6983">
        <w:rPr>
          <w:rFonts w:asciiTheme="minorHAnsi" w:hAnsiTheme="minorHAnsi" w:cstheme="minorHAnsi"/>
          <w:b/>
        </w:rPr>
        <w:t>18</w:t>
      </w:r>
      <w:r w:rsidRPr="00803A28">
        <w:rPr>
          <w:rFonts w:asciiTheme="minorHAnsi" w:hAnsiTheme="minorHAnsi" w:cstheme="minorHAnsi"/>
          <w:b/>
        </w:rPr>
        <w:t>/201</w:t>
      </w:r>
      <w:r w:rsidR="00C05BF3">
        <w:rPr>
          <w:rFonts w:asciiTheme="minorHAnsi" w:hAnsiTheme="minorHAnsi" w:cstheme="minorHAnsi"/>
          <w:b/>
        </w:rPr>
        <w:t>5</w:t>
      </w:r>
      <w:r w:rsidRPr="00803A28">
        <w:rPr>
          <w:rFonts w:asciiTheme="minorHAnsi" w:hAnsiTheme="minorHAnsi" w:cstheme="minorHAnsi"/>
          <w:b/>
        </w:rPr>
        <w:t>:</w:t>
      </w:r>
      <w:r w:rsidR="003811FB">
        <w:rPr>
          <w:rFonts w:asciiTheme="minorHAnsi" w:hAnsiTheme="minorHAnsi" w:cstheme="minorHAnsi"/>
          <w:b/>
        </w:rPr>
        <w:t xml:space="preserve"> </w:t>
      </w:r>
      <w:r w:rsidR="00F45D85">
        <w:rPr>
          <w:rFonts w:asciiTheme="minorHAnsi" w:hAnsiTheme="minorHAnsi" w:cstheme="minorHAnsi"/>
          <w:b/>
        </w:rPr>
        <w:t xml:space="preserve">Changes to the Public Service Pension Reduction (PSPR) </w:t>
      </w:r>
    </w:p>
    <w:p w:rsidR="00F438B7" w:rsidRDefault="00F438B7" w:rsidP="00803A28">
      <w:pPr>
        <w:jc w:val="both"/>
        <w:rPr>
          <w:rFonts w:asciiTheme="minorHAnsi" w:hAnsiTheme="minorHAnsi" w:cstheme="minorHAnsi"/>
        </w:rPr>
      </w:pPr>
    </w:p>
    <w:p w:rsidR="007354C0" w:rsidRDefault="007354C0" w:rsidP="00803A28">
      <w:pPr>
        <w:jc w:val="both"/>
        <w:rPr>
          <w:rFonts w:asciiTheme="minorHAnsi" w:hAnsiTheme="minorHAnsi" w:cstheme="minorHAnsi"/>
        </w:rPr>
      </w:pPr>
    </w:p>
    <w:p w:rsidR="00F45D85" w:rsidRDefault="000E1231" w:rsidP="00803A28">
      <w:pPr>
        <w:jc w:val="both"/>
        <w:rPr>
          <w:rFonts w:asciiTheme="minorHAnsi" w:hAnsiTheme="minorHAnsi" w:cstheme="minorHAnsi"/>
        </w:rPr>
      </w:pPr>
      <w:r w:rsidRPr="00803A28">
        <w:rPr>
          <w:rFonts w:asciiTheme="minorHAnsi" w:hAnsiTheme="minorHAnsi" w:cstheme="minorHAnsi"/>
        </w:rPr>
        <w:t>1.</w:t>
      </w:r>
      <w:r w:rsidR="00AD1F78">
        <w:rPr>
          <w:rFonts w:asciiTheme="minorHAnsi" w:hAnsiTheme="minorHAnsi" w:cstheme="minorHAnsi"/>
        </w:rPr>
        <w:t xml:space="preserve">  </w:t>
      </w:r>
      <w:r w:rsidR="00C05BF3">
        <w:rPr>
          <w:rFonts w:asciiTheme="minorHAnsi" w:hAnsiTheme="minorHAnsi" w:cstheme="minorHAnsi"/>
        </w:rPr>
        <w:t>This circular</w:t>
      </w:r>
      <w:r w:rsidR="00CC55C6">
        <w:rPr>
          <w:rFonts w:asciiTheme="minorHAnsi" w:hAnsiTheme="minorHAnsi" w:cstheme="minorHAnsi"/>
        </w:rPr>
        <w:t xml:space="preserve"> </w:t>
      </w:r>
      <w:r w:rsidR="00C14074">
        <w:rPr>
          <w:rFonts w:asciiTheme="minorHAnsi" w:hAnsiTheme="minorHAnsi" w:cstheme="minorHAnsi"/>
        </w:rPr>
        <w:t>notifies public</w:t>
      </w:r>
      <w:r w:rsidR="00C05BF3">
        <w:rPr>
          <w:rFonts w:asciiTheme="minorHAnsi" w:hAnsiTheme="minorHAnsi" w:cstheme="minorHAnsi"/>
        </w:rPr>
        <w:t xml:space="preserve"> service employers </w:t>
      </w:r>
      <w:r w:rsidR="00F45D85">
        <w:rPr>
          <w:rFonts w:asciiTheme="minorHAnsi" w:hAnsiTheme="minorHAnsi" w:cstheme="minorHAnsi"/>
        </w:rPr>
        <w:t xml:space="preserve">and pension-paying authorities of changes to the </w:t>
      </w:r>
      <w:r w:rsidR="00F45D85" w:rsidRPr="00F45D85">
        <w:rPr>
          <w:rFonts w:asciiTheme="minorHAnsi" w:hAnsiTheme="minorHAnsi" w:cstheme="minorHAnsi"/>
        </w:rPr>
        <w:t xml:space="preserve">Public Service Pension Reduction (PSPR) </w:t>
      </w:r>
      <w:r w:rsidR="00F45D85">
        <w:rPr>
          <w:rFonts w:asciiTheme="minorHAnsi" w:hAnsiTheme="minorHAnsi" w:cstheme="minorHAnsi"/>
        </w:rPr>
        <w:t xml:space="preserve">which have been legislated as part of the </w:t>
      </w:r>
      <w:hyperlink r:id="rId9" w:history="1">
        <w:r w:rsidR="00F45D85" w:rsidRPr="00543CA3">
          <w:rPr>
            <w:rStyle w:val="Hyperlink"/>
            <w:rFonts w:asciiTheme="minorHAnsi" w:hAnsiTheme="minorHAnsi" w:cstheme="minorHAnsi"/>
          </w:rPr>
          <w:t>Financial Emergency Measures in the Public Interest Act 2015</w:t>
        </w:r>
      </w:hyperlink>
      <w:r w:rsidR="00A564CB">
        <w:rPr>
          <w:rFonts w:asciiTheme="minorHAnsi" w:hAnsiTheme="minorHAnsi" w:cstheme="minorHAnsi"/>
        </w:rPr>
        <w:t xml:space="preserve"> (</w:t>
      </w:r>
      <w:r w:rsidR="007D6550">
        <w:rPr>
          <w:rFonts w:asciiTheme="minorHAnsi" w:hAnsiTheme="minorHAnsi" w:cstheme="minorHAnsi"/>
        </w:rPr>
        <w:t>“</w:t>
      </w:r>
      <w:r w:rsidR="00A564CB">
        <w:rPr>
          <w:rFonts w:asciiTheme="minorHAnsi" w:hAnsiTheme="minorHAnsi" w:cstheme="minorHAnsi"/>
        </w:rPr>
        <w:t>FEMPI 2015</w:t>
      </w:r>
      <w:r w:rsidR="007D6550">
        <w:rPr>
          <w:rFonts w:asciiTheme="minorHAnsi" w:hAnsiTheme="minorHAnsi" w:cstheme="minorHAnsi"/>
        </w:rPr>
        <w:t>”</w:t>
      </w:r>
      <w:r w:rsidR="00A564CB">
        <w:rPr>
          <w:rFonts w:asciiTheme="minorHAnsi" w:hAnsiTheme="minorHAnsi" w:cstheme="minorHAnsi"/>
        </w:rPr>
        <w:t>)</w:t>
      </w:r>
      <w:r w:rsidR="00F45D85">
        <w:rPr>
          <w:rFonts w:asciiTheme="minorHAnsi" w:hAnsiTheme="minorHAnsi" w:cstheme="minorHAnsi"/>
        </w:rPr>
        <w:t>.</w:t>
      </w:r>
      <w:r w:rsidR="00327F28">
        <w:rPr>
          <w:rFonts w:asciiTheme="minorHAnsi" w:hAnsiTheme="minorHAnsi" w:cstheme="minorHAnsi"/>
        </w:rPr>
        <w:t xml:space="preserve">  It also provides information on certain matters related to these changes, notably the “grace period” for pension awards, which has lately been extended to 1 April 2019. </w:t>
      </w:r>
    </w:p>
    <w:p w:rsidR="00F45D85" w:rsidRDefault="00F45D85" w:rsidP="00803A28">
      <w:pPr>
        <w:jc w:val="both"/>
        <w:rPr>
          <w:rFonts w:asciiTheme="minorHAnsi" w:hAnsiTheme="minorHAnsi" w:cstheme="minorHAnsi"/>
        </w:rPr>
      </w:pPr>
    </w:p>
    <w:p w:rsidR="00EE53FC" w:rsidRDefault="00F45D85" w:rsidP="00803A28">
      <w:pPr>
        <w:jc w:val="both"/>
        <w:rPr>
          <w:rFonts w:asciiTheme="minorHAnsi" w:hAnsiTheme="minorHAnsi" w:cstheme="minorHAnsi"/>
        </w:rPr>
      </w:pPr>
      <w:r>
        <w:rPr>
          <w:rFonts w:asciiTheme="minorHAnsi" w:hAnsiTheme="minorHAnsi" w:cstheme="minorHAnsi"/>
        </w:rPr>
        <w:t>2.</w:t>
      </w:r>
      <w:r w:rsidR="00EE53FC">
        <w:rPr>
          <w:rFonts w:asciiTheme="minorHAnsi" w:hAnsiTheme="minorHAnsi" w:cstheme="minorHAnsi"/>
        </w:rPr>
        <w:t xml:space="preserve"> </w:t>
      </w:r>
      <w:r w:rsidR="006769C2">
        <w:rPr>
          <w:rFonts w:asciiTheme="minorHAnsi" w:hAnsiTheme="minorHAnsi" w:cstheme="minorHAnsi"/>
        </w:rPr>
        <w:t xml:space="preserve">The </w:t>
      </w:r>
      <w:r w:rsidR="00327F28">
        <w:rPr>
          <w:rFonts w:asciiTheme="minorHAnsi" w:hAnsiTheme="minorHAnsi" w:cstheme="minorHAnsi"/>
        </w:rPr>
        <w:t xml:space="preserve">PSPR </w:t>
      </w:r>
      <w:r w:rsidR="006769C2">
        <w:rPr>
          <w:rFonts w:asciiTheme="minorHAnsi" w:hAnsiTheme="minorHAnsi" w:cstheme="minorHAnsi"/>
        </w:rPr>
        <w:t xml:space="preserve">changes </w:t>
      </w:r>
      <w:r w:rsidR="00A2642D">
        <w:rPr>
          <w:rFonts w:asciiTheme="minorHAnsi" w:hAnsiTheme="minorHAnsi" w:cstheme="minorHAnsi"/>
        </w:rPr>
        <w:t xml:space="preserve">take effect </w:t>
      </w:r>
      <w:r>
        <w:rPr>
          <w:rFonts w:asciiTheme="minorHAnsi" w:hAnsiTheme="minorHAnsi" w:cstheme="minorHAnsi"/>
        </w:rPr>
        <w:t xml:space="preserve">in </w:t>
      </w:r>
      <w:r w:rsidR="00A2642D">
        <w:rPr>
          <w:rFonts w:asciiTheme="minorHAnsi" w:hAnsiTheme="minorHAnsi" w:cstheme="minorHAnsi"/>
        </w:rPr>
        <w:t xml:space="preserve">three stages, </w:t>
      </w:r>
      <w:r>
        <w:rPr>
          <w:rFonts w:asciiTheme="minorHAnsi" w:hAnsiTheme="minorHAnsi" w:cstheme="minorHAnsi"/>
        </w:rPr>
        <w:t>on 1 January 2016, 1 January 2017 and</w:t>
      </w:r>
      <w:r w:rsidR="00EE53FC">
        <w:rPr>
          <w:rFonts w:asciiTheme="minorHAnsi" w:hAnsiTheme="minorHAnsi" w:cstheme="minorHAnsi"/>
        </w:rPr>
        <w:t xml:space="preserve"> 1 January 2018, and consist of adjustments to the entry thresholds, band</w:t>
      </w:r>
      <w:r w:rsidR="00BD7473">
        <w:rPr>
          <w:rFonts w:asciiTheme="minorHAnsi" w:hAnsiTheme="minorHAnsi" w:cstheme="minorHAnsi"/>
        </w:rPr>
        <w:t>s</w:t>
      </w:r>
      <w:r w:rsidR="00EE53FC">
        <w:rPr>
          <w:rFonts w:asciiTheme="minorHAnsi" w:hAnsiTheme="minorHAnsi" w:cstheme="minorHAnsi"/>
        </w:rPr>
        <w:t xml:space="preserve"> and rates of PSPR.</w:t>
      </w:r>
      <w:r>
        <w:rPr>
          <w:rFonts w:asciiTheme="minorHAnsi" w:hAnsiTheme="minorHAnsi" w:cstheme="minorHAnsi"/>
        </w:rPr>
        <w:t xml:space="preserve"> The</w:t>
      </w:r>
      <w:r w:rsidR="00EE53FC">
        <w:rPr>
          <w:rFonts w:asciiTheme="minorHAnsi" w:hAnsiTheme="minorHAnsi" w:cstheme="minorHAnsi"/>
        </w:rPr>
        <w:t xml:space="preserve"> changes will remove or considerably lessen the </w:t>
      </w:r>
      <w:r w:rsidR="006769C2">
        <w:rPr>
          <w:rFonts w:asciiTheme="minorHAnsi" w:hAnsiTheme="minorHAnsi" w:cstheme="minorHAnsi"/>
        </w:rPr>
        <w:t xml:space="preserve">PSPR </w:t>
      </w:r>
      <w:r w:rsidR="00EE53FC">
        <w:rPr>
          <w:rFonts w:asciiTheme="minorHAnsi" w:hAnsiTheme="minorHAnsi" w:cstheme="minorHAnsi"/>
        </w:rPr>
        <w:t>burden</w:t>
      </w:r>
      <w:r w:rsidR="00103AD8">
        <w:rPr>
          <w:rFonts w:asciiTheme="minorHAnsi" w:hAnsiTheme="minorHAnsi" w:cstheme="minorHAnsi"/>
        </w:rPr>
        <w:t xml:space="preserve"> on </w:t>
      </w:r>
      <w:r w:rsidR="006769C2">
        <w:rPr>
          <w:rFonts w:asciiTheme="minorHAnsi" w:hAnsiTheme="minorHAnsi" w:cstheme="minorHAnsi"/>
        </w:rPr>
        <w:t xml:space="preserve">affected </w:t>
      </w:r>
      <w:r w:rsidR="00DA25E4">
        <w:rPr>
          <w:rFonts w:asciiTheme="minorHAnsi" w:hAnsiTheme="minorHAnsi" w:cstheme="minorHAnsi"/>
        </w:rPr>
        <w:t xml:space="preserve">public service </w:t>
      </w:r>
      <w:r w:rsidR="00EE53FC">
        <w:rPr>
          <w:rFonts w:asciiTheme="minorHAnsi" w:hAnsiTheme="minorHAnsi" w:cstheme="minorHAnsi"/>
        </w:rPr>
        <w:t>pensioner</w:t>
      </w:r>
      <w:r w:rsidR="006769C2">
        <w:rPr>
          <w:rFonts w:asciiTheme="minorHAnsi" w:hAnsiTheme="minorHAnsi" w:cstheme="minorHAnsi"/>
        </w:rPr>
        <w:t>s.</w:t>
      </w:r>
      <w:r w:rsidR="00DA25E4">
        <w:rPr>
          <w:rFonts w:asciiTheme="minorHAnsi" w:hAnsiTheme="minorHAnsi" w:cstheme="minorHAnsi"/>
        </w:rPr>
        <w:t xml:space="preserve"> </w:t>
      </w:r>
      <w:r w:rsidR="00DA25E4">
        <w:rPr>
          <w:rFonts w:asciiTheme="minorHAnsi" w:hAnsiTheme="minorHAnsi" w:cstheme="minorHAnsi"/>
          <w:b/>
        </w:rPr>
        <w:t>Ta</w:t>
      </w:r>
      <w:r w:rsidR="009233BB" w:rsidRPr="009233BB">
        <w:rPr>
          <w:rFonts w:asciiTheme="minorHAnsi" w:hAnsiTheme="minorHAnsi" w:cstheme="minorHAnsi"/>
          <w:b/>
        </w:rPr>
        <w:t>bles setting out the revis</w:t>
      </w:r>
      <w:r w:rsidR="00B70910">
        <w:rPr>
          <w:rFonts w:asciiTheme="minorHAnsi" w:hAnsiTheme="minorHAnsi" w:cstheme="minorHAnsi"/>
          <w:b/>
        </w:rPr>
        <w:t xml:space="preserve">ed PSPR rates are in paragraph </w:t>
      </w:r>
      <w:r w:rsidR="005A6983">
        <w:rPr>
          <w:rFonts w:asciiTheme="minorHAnsi" w:hAnsiTheme="minorHAnsi" w:cstheme="minorHAnsi"/>
          <w:b/>
        </w:rPr>
        <w:t>8</w:t>
      </w:r>
      <w:r w:rsidR="00A564CB">
        <w:rPr>
          <w:rFonts w:asciiTheme="minorHAnsi" w:hAnsiTheme="minorHAnsi" w:cstheme="minorHAnsi"/>
          <w:b/>
        </w:rPr>
        <w:t xml:space="preserve"> </w:t>
      </w:r>
      <w:r w:rsidR="000B4F9A">
        <w:rPr>
          <w:rFonts w:asciiTheme="minorHAnsi" w:hAnsiTheme="minorHAnsi" w:cstheme="minorHAnsi"/>
          <w:b/>
        </w:rPr>
        <w:t>of this circular.</w:t>
      </w:r>
    </w:p>
    <w:p w:rsidR="00F438B7" w:rsidRDefault="00F438B7" w:rsidP="00803A28">
      <w:pPr>
        <w:jc w:val="both"/>
        <w:rPr>
          <w:rFonts w:asciiTheme="minorHAnsi" w:hAnsiTheme="minorHAnsi" w:cstheme="minorHAnsi"/>
          <w:b/>
        </w:rPr>
      </w:pPr>
    </w:p>
    <w:p w:rsidR="007354C0" w:rsidRDefault="007354C0" w:rsidP="00803A28">
      <w:pPr>
        <w:jc w:val="both"/>
        <w:rPr>
          <w:rFonts w:asciiTheme="minorHAnsi" w:hAnsiTheme="minorHAnsi" w:cstheme="minorHAnsi"/>
          <w:b/>
        </w:rPr>
      </w:pPr>
    </w:p>
    <w:p w:rsidR="00C14074" w:rsidRPr="00AE6D23" w:rsidRDefault="00EE53FC" w:rsidP="00803A28">
      <w:pPr>
        <w:jc w:val="both"/>
        <w:rPr>
          <w:rFonts w:asciiTheme="minorHAnsi" w:hAnsiTheme="minorHAnsi" w:cstheme="minorHAnsi"/>
          <w:b/>
        </w:rPr>
      </w:pPr>
      <w:r>
        <w:rPr>
          <w:rFonts w:asciiTheme="minorHAnsi" w:hAnsiTheme="minorHAnsi" w:cstheme="minorHAnsi"/>
          <w:b/>
        </w:rPr>
        <w:t>Background</w:t>
      </w:r>
    </w:p>
    <w:p w:rsidR="00C14074" w:rsidRDefault="00C14074" w:rsidP="00803A28">
      <w:pPr>
        <w:jc w:val="both"/>
        <w:rPr>
          <w:rFonts w:asciiTheme="minorHAnsi" w:hAnsiTheme="minorHAnsi" w:cstheme="minorHAnsi"/>
        </w:rPr>
      </w:pPr>
    </w:p>
    <w:p w:rsidR="00562B7E" w:rsidRDefault="005A6983" w:rsidP="00F359D6">
      <w:pPr>
        <w:contextualSpacing/>
        <w:jc w:val="both"/>
        <w:rPr>
          <w:rFonts w:asciiTheme="minorHAnsi" w:hAnsiTheme="minorHAnsi" w:cstheme="minorHAnsi"/>
        </w:rPr>
      </w:pPr>
      <w:r>
        <w:rPr>
          <w:rFonts w:asciiTheme="minorHAnsi" w:hAnsiTheme="minorHAnsi" w:cstheme="minorHAnsi"/>
        </w:rPr>
        <w:t>3</w:t>
      </w:r>
      <w:r w:rsidR="00F359D6">
        <w:rPr>
          <w:rFonts w:asciiTheme="minorHAnsi" w:hAnsiTheme="minorHAnsi" w:cstheme="minorHAnsi"/>
        </w:rPr>
        <w:t xml:space="preserve">. </w:t>
      </w:r>
      <w:r w:rsidR="00F359D6" w:rsidRPr="00F85083">
        <w:rPr>
          <w:rFonts w:asciiTheme="minorHAnsi" w:hAnsiTheme="minorHAnsi" w:cstheme="minorHAnsi"/>
          <w:b/>
        </w:rPr>
        <w:t>PSPR was introduced on 1 January 2011</w:t>
      </w:r>
      <w:r w:rsidR="00F359D6">
        <w:rPr>
          <w:rFonts w:asciiTheme="minorHAnsi" w:hAnsiTheme="minorHAnsi" w:cstheme="minorHAnsi"/>
        </w:rPr>
        <w:t xml:space="preserve"> under </w:t>
      </w:r>
      <w:r w:rsidR="00897238">
        <w:rPr>
          <w:rFonts w:asciiTheme="minorHAnsi" w:hAnsiTheme="minorHAnsi" w:cstheme="minorHAnsi"/>
        </w:rPr>
        <w:t xml:space="preserve">the </w:t>
      </w:r>
      <w:r w:rsidR="00A564CB">
        <w:rPr>
          <w:rFonts w:asciiTheme="minorHAnsi" w:hAnsiTheme="minorHAnsi" w:cstheme="minorHAnsi"/>
        </w:rPr>
        <w:t>Financial Emergency Measures in the Public Interest Act 201</w:t>
      </w:r>
      <w:r w:rsidR="00A2642D">
        <w:rPr>
          <w:rFonts w:asciiTheme="minorHAnsi" w:hAnsiTheme="minorHAnsi" w:cstheme="minorHAnsi"/>
        </w:rPr>
        <w:t>0</w:t>
      </w:r>
      <w:r w:rsidR="00A564CB">
        <w:rPr>
          <w:rFonts w:asciiTheme="minorHAnsi" w:hAnsiTheme="minorHAnsi" w:cstheme="minorHAnsi"/>
        </w:rPr>
        <w:t xml:space="preserve"> (</w:t>
      </w:r>
      <w:r w:rsidR="007D6550">
        <w:rPr>
          <w:rFonts w:asciiTheme="minorHAnsi" w:hAnsiTheme="minorHAnsi" w:cstheme="minorHAnsi"/>
        </w:rPr>
        <w:t>“</w:t>
      </w:r>
      <w:r w:rsidR="004B51B2">
        <w:rPr>
          <w:rFonts w:asciiTheme="minorHAnsi" w:hAnsiTheme="minorHAnsi" w:cstheme="minorHAnsi"/>
        </w:rPr>
        <w:t>FEMPI 2010</w:t>
      </w:r>
      <w:r w:rsidR="007D6550">
        <w:rPr>
          <w:rFonts w:asciiTheme="minorHAnsi" w:hAnsiTheme="minorHAnsi" w:cstheme="minorHAnsi"/>
        </w:rPr>
        <w:t>”</w:t>
      </w:r>
      <w:r w:rsidR="00A564CB">
        <w:rPr>
          <w:rFonts w:asciiTheme="minorHAnsi" w:hAnsiTheme="minorHAnsi" w:cstheme="minorHAnsi"/>
        </w:rPr>
        <w:t>)</w:t>
      </w:r>
      <w:r w:rsidR="004B51B2">
        <w:rPr>
          <w:rFonts w:asciiTheme="minorHAnsi" w:hAnsiTheme="minorHAnsi" w:cstheme="minorHAnsi"/>
        </w:rPr>
        <w:t>. Subject to a</w:t>
      </w:r>
      <w:r w:rsidR="00247BD7">
        <w:rPr>
          <w:rFonts w:asciiTheme="minorHAnsi" w:hAnsiTheme="minorHAnsi" w:cstheme="minorHAnsi"/>
        </w:rPr>
        <w:t>n exemption for all pensions up to €12,000</w:t>
      </w:r>
      <w:r w:rsidR="004B51B2">
        <w:rPr>
          <w:rFonts w:asciiTheme="minorHAnsi" w:hAnsiTheme="minorHAnsi" w:cstheme="minorHAnsi"/>
        </w:rPr>
        <w:t xml:space="preserve">, it </w:t>
      </w:r>
      <w:r w:rsidR="00481352">
        <w:rPr>
          <w:rFonts w:asciiTheme="minorHAnsi" w:hAnsiTheme="minorHAnsi" w:cstheme="minorHAnsi"/>
        </w:rPr>
        <w:t>cut</w:t>
      </w:r>
      <w:r w:rsidR="004B51B2">
        <w:rPr>
          <w:rFonts w:asciiTheme="minorHAnsi" w:hAnsiTheme="minorHAnsi" w:cstheme="minorHAnsi"/>
        </w:rPr>
        <w:t xml:space="preserve"> pensions </w:t>
      </w:r>
      <w:r w:rsidR="00481352">
        <w:rPr>
          <w:rFonts w:asciiTheme="minorHAnsi" w:hAnsiTheme="minorHAnsi" w:cstheme="minorHAnsi"/>
        </w:rPr>
        <w:t xml:space="preserve">then </w:t>
      </w:r>
      <w:r w:rsidR="004B51B2">
        <w:rPr>
          <w:rFonts w:asciiTheme="minorHAnsi" w:hAnsiTheme="minorHAnsi" w:cstheme="minorHAnsi"/>
        </w:rPr>
        <w:t>in payment</w:t>
      </w:r>
      <w:r w:rsidR="003B79C7">
        <w:rPr>
          <w:rFonts w:asciiTheme="minorHAnsi" w:hAnsiTheme="minorHAnsi" w:cstheme="minorHAnsi"/>
        </w:rPr>
        <w:t>,</w:t>
      </w:r>
      <w:r w:rsidR="004B51B2">
        <w:rPr>
          <w:rFonts w:asciiTheme="minorHAnsi" w:hAnsiTheme="minorHAnsi" w:cstheme="minorHAnsi"/>
        </w:rPr>
        <w:t xml:space="preserve"> a</w:t>
      </w:r>
      <w:r w:rsidR="000D5F44">
        <w:rPr>
          <w:rFonts w:asciiTheme="minorHAnsi" w:hAnsiTheme="minorHAnsi" w:cstheme="minorHAnsi"/>
        </w:rPr>
        <w:t>long with new</w:t>
      </w:r>
      <w:r w:rsidR="00481352">
        <w:rPr>
          <w:rFonts w:asciiTheme="minorHAnsi" w:hAnsiTheme="minorHAnsi" w:cstheme="minorHAnsi"/>
        </w:rPr>
        <w:t xml:space="preserve"> </w:t>
      </w:r>
      <w:r w:rsidR="004B51B2">
        <w:rPr>
          <w:rFonts w:asciiTheme="minorHAnsi" w:hAnsiTheme="minorHAnsi" w:cstheme="minorHAnsi"/>
        </w:rPr>
        <w:t xml:space="preserve">pensions awarded until the expiry, </w:t>
      </w:r>
      <w:r w:rsidR="000D5F44">
        <w:rPr>
          <w:rFonts w:asciiTheme="minorHAnsi" w:hAnsiTheme="minorHAnsi" w:cstheme="minorHAnsi"/>
        </w:rPr>
        <w:t>at end-</w:t>
      </w:r>
      <w:r w:rsidR="004B51B2">
        <w:rPr>
          <w:rFonts w:asciiTheme="minorHAnsi" w:hAnsiTheme="minorHAnsi" w:cstheme="minorHAnsi"/>
        </w:rPr>
        <w:t>February 201</w:t>
      </w:r>
      <w:r w:rsidR="00247BD7">
        <w:rPr>
          <w:rFonts w:asciiTheme="minorHAnsi" w:hAnsiTheme="minorHAnsi" w:cstheme="minorHAnsi"/>
        </w:rPr>
        <w:t>2</w:t>
      </w:r>
      <w:r w:rsidR="004B51B2">
        <w:rPr>
          <w:rFonts w:asciiTheme="minorHAnsi" w:hAnsiTheme="minorHAnsi" w:cstheme="minorHAnsi"/>
        </w:rPr>
        <w:t>, of the 20</w:t>
      </w:r>
      <w:r w:rsidR="00481352">
        <w:rPr>
          <w:rFonts w:asciiTheme="minorHAnsi" w:hAnsiTheme="minorHAnsi" w:cstheme="minorHAnsi"/>
        </w:rPr>
        <w:t>10</w:t>
      </w:r>
      <w:r w:rsidR="004710AE">
        <w:rPr>
          <w:rFonts w:asciiTheme="minorHAnsi" w:hAnsiTheme="minorHAnsi" w:cstheme="minorHAnsi"/>
        </w:rPr>
        <w:t>–</w:t>
      </w:r>
      <w:r w:rsidR="004B51B2">
        <w:rPr>
          <w:rFonts w:asciiTheme="minorHAnsi" w:hAnsiTheme="minorHAnsi" w:cstheme="minorHAnsi"/>
        </w:rPr>
        <w:t>2012 “grace period”. During th</w:t>
      </w:r>
      <w:r w:rsidR="000D5F44">
        <w:rPr>
          <w:rFonts w:asciiTheme="minorHAnsi" w:hAnsiTheme="minorHAnsi" w:cstheme="minorHAnsi"/>
        </w:rPr>
        <w:t>at</w:t>
      </w:r>
      <w:r w:rsidR="00562B7E">
        <w:rPr>
          <w:rFonts w:asciiTheme="minorHAnsi" w:hAnsiTheme="minorHAnsi" w:cstheme="minorHAnsi"/>
        </w:rPr>
        <w:t xml:space="preserve"> </w:t>
      </w:r>
      <w:r w:rsidR="004B51B2">
        <w:rPr>
          <w:rFonts w:asciiTheme="minorHAnsi" w:hAnsiTheme="minorHAnsi" w:cstheme="minorHAnsi"/>
        </w:rPr>
        <w:t xml:space="preserve">grace period </w:t>
      </w:r>
      <w:r w:rsidR="00606147">
        <w:rPr>
          <w:rFonts w:asciiTheme="minorHAnsi" w:hAnsiTheme="minorHAnsi" w:cstheme="minorHAnsi"/>
        </w:rPr>
        <w:t xml:space="preserve">new </w:t>
      </w:r>
      <w:r w:rsidR="00247BD7">
        <w:rPr>
          <w:rFonts w:asciiTheme="minorHAnsi" w:hAnsiTheme="minorHAnsi" w:cstheme="minorHAnsi"/>
        </w:rPr>
        <w:t xml:space="preserve">retirement </w:t>
      </w:r>
      <w:r w:rsidR="004B51B2">
        <w:rPr>
          <w:rFonts w:asciiTheme="minorHAnsi" w:hAnsiTheme="minorHAnsi" w:cstheme="minorHAnsi"/>
        </w:rPr>
        <w:t>pension</w:t>
      </w:r>
      <w:r w:rsidR="00481352">
        <w:rPr>
          <w:rFonts w:asciiTheme="minorHAnsi" w:hAnsiTheme="minorHAnsi" w:cstheme="minorHAnsi"/>
        </w:rPr>
        <w:t>s</w:t>
      </w:r>
      <w:r w:rsidR="004B51B2">
        <w:rPr>
          <w:rFonts w:asciiTheme="minorHAnsi" w:hAnsiTheme="minorHAnsi" w:cstheme="minorHAnsi"/>
        </w:rPr>
        <w:t xml:space="preserve"> were, exceptionally</w:t>
      </w:r>
      <w:r w:rsidR="00481352">
        <w:rPr>
          <w:rFonts w:asciiTheme="minorHAnsi" w:hAnsiTheme="minorHAnsi" w:cstheme="minorHAnsi"/>
        </w:rPr>
        <w:t xml:space="preserve">, </w:t>
      </w:r>
      <w:r w:rsidR="00562B7E">
        <w:rPr>
          <w:rFonts w:asciiTheme="minorHAnsi" w:hAnsiTheme="minorHAnsi" w:cstheme="minorHAnsi"/>
        </w:rPr>
        <w:t xml:space="preserve">awarded by reference to </w:t>
      </w:r>
      <w:r w:rsidR="00481352">
        <w:rPr>
          <w:rFonts w:asciiTheme="minorHAnsi" w:hAnsiTheme="minorHAnsi" w:cstheme="minorHAnsi"/>
        </w:rPr>
        <w:t>h</w:t>
      </w:r>
      <w:r w:rsidR="004B51B2">
        <w:rPr>
          <w:rFonts w:asciiTheme="minorHAnsi" w:hAnsiTheme="minorHAnsi" w:cstheme="minorHAnsi"/>
        </w:rPr>
        <w:t>igher sal</w:t>
      </w:r>
      <w:r w:rsidR="00481352">
        <w:rPr>
          <w:rFonts w:asciiTheme="minorHAnsi" w:hAnsiTheme="minorHAnsi" w:cstheme="minorHAnsi"/>
        </w:rPr>
        <w:t>aries</w:t>
      </w:r>
      <w:r w:rsidR="004B51B2">
        <w:rPr>
          <w:rFonts w:asciiTheme="minorHAnsi" w:hAnsiTheme="minorHAnsi" w:cstheme="minorHAnsi"/>
        </w:rPr>
        <w:t xml:space="preserve"> than </w:t>
      </w:r>
      <w:r w:rsidR="000D5F44">
        <w:rPr>
          <w:rFonts w:asciiTheme="minorHAnsi" w:hAnsiTheme="minorHAnsi" w:cstheme="minorHAnsi"/>
        </w:rPr>
        <w:t xml:space="preserve">the </w:t>
      </w:r>
      <w:r w:rsidR="004B51B2">
        <w:rPr>
          <w:rFonts w:asciiTheme="minorHAnsi" w:hAnsiTheme="minorHAnsi" w:cstheme="minorHAnsi"/>
        </w:rPr>
        <w:t xml:space="preserve">retirees </w:t>
      </w:r>
      <w:r w:rsidR="00562B7E">
        <w:rPr>
          <w:rFonts w:asciiTheme="minorHAnsi" w:hAnsiTheme="minorHAnsi" w:cstheme="minorHAnsi"/>
        </w:rPr>
        <w:t xml:space="preserve">actually </w:t>
      </w:r>
      <w:r w:rsidR="00872845">
        <w:rPr>
          <w:rFonts w:asciiTheme="minorHAnsi" w:hAnsiTheme="minorHAnsi" w:cstheme="minorHAnsi"/>
        </w:rPr>
        <w:t>earned</w:t>
      </w:r>
      <w:r w:rsidR="00481352">
        <w:rPr>
          <w:rFonts w:asciiTheme="minorHAnsi" w:hAnsiTheme="minorHAnsi" w:cstheme="minorHAnsi"/>
        </w:rPr>
        <w:t xml:space="preserve"> </w:t>
      </w:r>
      <w:r w:rsidR="00606147">
        <w:rPr>
          <w:rFonts w:asciiTheme="minorHAnsi" w:hAnsiTheme="minorHAnsi" w:cstheme="minorHAnsi"/>
        </w:rPr>
        <w:t>(</w:t>
      </w:r>
      <w:r w:rsidR="009233BB">
        <w:rPr>
          <w:rFonts w:asciiTheme="minorHAnsi" w:hAnsiTheme="minorHAnsi" w:cstheme="minorHAnsi"/>
        </w:rPr>
        <w:t xml:space="preserve">being </w:t>
      </w:r>
      <w:r w:rsidR="00481352">
        <w:rPr>
          <w:rFonts w:asciiTheme="minorHAnsi" w:hAnsiTheme="minorHAnsi" w:cstheme="minorHAnsi"/>
        </w:rPr>
        <w:t xml:space="preserve">the salaries </w:t>
      </w:r>
      <w:r w:rsidR="00872845">
        <w:rPr>
          <w:rFonts w:asciiTheme="minorHAnsi" w:hAnsiTheme="minorHAnsi" w:cstheme="minorHAnsi"/>
        </w:rPr>
        <w:t xml:space="preserve">paid </w:t>
      </w:r>
      <w:r w:rsidR="00A564CB">
        <w:rPr>
          <w:rFonts w:asciiTheme="minorHAnsi" w:hAnsiTheme="minorHAnsi" w:cstheme="minorHAnsi"/>
        </w:rPr>
        <w:t xml:space="preserve">just </w:t>
      </w:r>
      <w:r w:rsidR="00481352">
        <w:rPr>
          <w:rFonts w:asciiTheme="minorHAnsi" w:hAnsiTheme="minorHAnsi" w:cstheme="minorHAnsi"/>
        </w:rPr>
        <w:t xml:space="preserve">before </w:t>
      </w:r>
      <w:r w:rsidR="00875A19">
        <w:rPr>
          <w:rFonts w:asciiTheme="minorHAnsi" w:hAnsiTheme="minorHAnsi" w:cstheme="minorHAnsi"/>
        </w:rPr>
        <w:t xml:space="preserve">the public service </w:t>
      </w:r>
      <w:r w:rsidR="00A564CB">
        <w:rPr>
          <w:rFonts w:asciiTheme="minorHAnsi" w:hAnsiTheme="minorHAnsi" w:cstheme="minorHAnsi"/>
        </w:rPr>
        <w:t xml:space="preserve">pay cuts </w:t>
      </w:r>
      <w:r w:rsidR="00875A19">
        <w:rPr>
          <w:rFonts w:asciiTheme="minorHAnsi" w:hAnsiTheme="minorHAnsi" w:cstheme="minorHAnsi"/>
        </w:rPr>
        <w:t xml:space="preserve">of </w:t>
      </w:r>
      <w:r w:rsidR="00481352">
        <w:rPr>
          <w:rFonts w:asciiTheme="minorHAnsi" w:hAnsiTheme="minorHAnsi" w:cstheme="minorHAnsi"/>
        </w:rPr>
        <w:t>J</w:t>
      </w:r>
      <w:r w:rsidR="00A564CB">
        <w:rPr>
          <w:rFonts w:asciiTheme="minorHAnsi" w:hAnsiTheme="minorHAnsi" w:cstheme="minorHAnsi"/>
        </w:rPr>
        <w:t>anuary 2010</w:t>
      </w:r>
      <w:r w:rsidR="00606147">
        <w:rPr>
          <w:rFonts w:asciiTheme="minorHAnsi" w:hAnsiTheme="minorHAnsi" w:cstheme="minorHAnsi"/>
        </w:rPr>
        <w:t>)</w:t>
      </w:r>
      <w:r w:rsidR="00481352">
        <w:rPr>
          <w:rFonts w:asciiTheme="minorHAnsi" w:hAnsiTheme="minorHAnsi" w:cstheme="minorHAnsi"/>
        </w:rPr>
        <w:t>.</w:t>
      </w:r>
      <w:r w:rsidR="00562B7E" w:rsidRPr="00562B7E">
        <w:rPr>
          <w:rFonts w:asciiTheme="minorHAnsi" w:hAnsiTheme="minorHAnsi" w:cstheme="minorHAnsi"/>
        </w:rPr>
        <w:t xml:space="preserve"> </w:t>
      </w:r>
      <w:r w:rsidR="00562B7E">
        <w:rPr>
          <w:rFonts w:asciiTheme="minorHAnsi" w:hAnsiTheme="minorHAnsi" w:cstheme="minorHAnsi"/>
        </w:rPr>
        <w:t xml:space="preserve"> </w:t>
      </w:r>
    </w:p>
    <w:p w:rsidR="00562B7E" w:rsidRDefault="00562B7E" w:rsidP="00F359D6">
      <w:pPr>
        <w:contextualSpacing/>
        <w:jc w:val="both"/>
        <w:rPr>
          <w:rFonts w:asciiTheme="minorHAnsi" w:hAnsiTheme="minorHAnsi" w:cstheme="minorHAnsi"/>
        </w:rPr>
      </w:pPr>
    </w:p>
    <w:p w:rsidR="00872845" w:rsidRDefault="005A6983" w:rsidP="00872845">
      <w:pPr>
        <w:contextualSpacing/>
        <w:jc w:val="both"/>
        <w:rPr>
          <w:rFonts w:asciiTheme="minorHAnsi" w:hAnsiTheme="minorHAnsi" w:cstheme="minorHAnsi"/>
        </w:rPr>
      </w:pPr>
      <w:r>
        <w:rPr>
          <w:rFonts w:asciiTheme="minorHAnsi" w:hAnsiTheme="minorHAnsi" w:cstheme="minorHAnsi"/>
        </w:rPr>
        <w:t>4</w:t>
      </w:r>
      <w:r w:rsidR="00872845">
        <w:rPr>
          <w:rFonts w:asciiTheme="minorHAnsi" w:hAnsiTheme="minorHAnsi" w:cstheme="minorHAnsi"/>
        </w:rPr>
        <w:t xml:space="preserve">. The PSPR table implementing this PSPR regime was </w:t>
      </w:r>
      <w:r w:rsidR="00872845" w:rsidRPr="00F85083">
        <w:rPr>
          <w:rFonts w:asciiTheme="minorHAnsi" w:hAnsiTheme="minorHAnsi" w:cstheme="minorHAnsi"/>
          <w:b/>
        </w:rPr>
        <w:t>adjusted on 1 January 2012</w:t>
      </w:r>
      <w:r w:rsidR="00872845">
        <w:rPr>
          <w:rFonts w:asciiTheme="minorHAnsi" w:hAnsiTheme="minorHAnsi" w:cstheme="minorHAnsi"/>
        </w:rPr>
        <w:t xml:space="preserve"> by </w:t>
      </w:r>
      <w:r w:rsidR="00543CA3">
        <w:rPr>
          <w:rFonts w:asciiTheme="minorHAnsi" w:hAnsiTheme="minorHAnsi" w:cstheme="minorHAnsi"/>
        </w:rPr>
        <w:t xml:space="preserve">the addition </w:t>
      </w:r>
      <w:r w:rsidR="00606147">
        <w:rPr>
          <w:rFonts w:asciiTheme="minorHAnsi" w:hAnsiTheme="minorHAnsi" w:cstheme="minorHAnsi"/>
        </w:rPr>
        <w:t xml:space="preserve">of </w:t>
      </w:r>
      <w:r w:rsidR="00872845">
        <w:rPr>
          <w:rFonts w:asciiTheme="minorHAnsi" w:hAnsiTheme="minorHAnsi" w:cstheme="minorHAnsi"/>
        </w:rPr>
        <w:t xml:space="preserve">a 20% </w:t>
      </w:r>
      <w:r w:rsidR="00BD7473">
        <w:rPr>
          <w:rFonts w:asciiTheme="minorHAnsi" w:hAnsiTheme="minorHAnsi" w:cstheme="minorHAnsi"/>
        </w:rPr>
        <w:t xml:space="preserve">rate </w:t>
      </w:r>
      <w:r w:rsidR="00872845">
        <w:rPr>
          <w:rFonts w:asciiTheme="minorHAnsi" w:hAnsiTheme="minorHAnsi" w:cstheme="minorHAnsi"/>
        </w:rPr>
        <w:t>on any excess over €100,000 in a pension’s pre-PSPR value. In</w:t>
      </w:r>
      <w:r w:rsidR="00BD7473">
        <w:rPr>
          <w:rFonts w:asciiTheme="minorHAnsi" w:hAnsiTheme="minorHAnsi" w:cstheme="minorHAnsi"/>
        </w:rPr>
        <w:t xml:space="preserve">clusive of that adjustment </w:t>
      </w:r>
      <w:r w:rsidR="00872845">
        <w:rPr>
          <w:rFonts w:asciiTheme="minorHAnsi" w:hAnsiTheme="minorHAnsi" w:cstheme="minorHAnsi"/>
        </w:rPr>
        <w:t>the original PSPR table was as follows:</w:t>
      </w:r>
    </w:p>
    <w:p w:rsidR="005A6983" w:rsidRDefault="005A6983" w:rsidP="00872845">
      <w:pPr>
        <w:contextualSpacing/>
        <w:jc w:val="both"/>
        <w:rPr>
          <w:rFonts w:asciiTheme="minorHAnsi" w:hAnsiTheme="minorHAnsi" w:cstheme="minorHAnsi"/>
        </w:rPr>
      </w:pPr>
    </w:p>
    <w:tbl>
      <w:tblPr>
        <w:tblStyle w:val="TableGrid"/>
        <w:tblW w:w="0" w:type="auto"/>
        <w:tblLook w:val="01E0" w:firstRow="1" w:lastRow="1" w:firstColumn="1" w:lastColumn="1" w:noHBand="0" w:noVBand="0"/>
      </w:tblPr>
      <w:tblGrid>
        <w:gridCol w:w="5080"/>
        <w:gridCol w:w="2428"/>
      </w:tblGrid>
      <w:tr w:rsidR="00872845"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872845" w:rsidRPr="009233BB" w:rsidRDefault="00872845" w:rsidP="00260650">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 xml:space="preserve">Original </w:t>
            </w:r>
            <w:r w:rsidRPr="009233BB">
              <w:rPr>
                <w:rFonts w:asciiTheme="minorHAnsi" w:hAnsiTheme="minorHAnsi" w:cstheme="minorHAnsi"/>
                <w:b/>
                <w:sz w:val="24"/>
                <w:szCs w:val="24"/>
                <w:lang w:val="en-GB"/>
              </w:rPr>
              <w:t>PSPR rates</w:t>
            </w:r>
            <w:r>
              <w:rPr>
                <w:rFonts w:asciiTheme="minorHAnsi" w:hAnsiTheme="minorHAnsi" w:cstheme="minorHAnsi"/>
                <w:b/>
                <w:sz w:val="24"/>
                <w:szCs w:val="24"/>
                <w:lang w:val="en-GB"/>
              </w:rPr>
              <w:t xml:space="preserve"> *</w:t>
            </w:r>
          </w:p>
        </w:tc>
      </w:tr>
      <w:tr w:rsidR="00872845"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r w:rsidR="00102FB4">
              <w:rPr>
                <w:rFonts w:asciiTheme="minorHAnsi" w:hAnsiTheme="minorHAnsi" w:cstheme="minorHAnsi"/>
                <w:i/>
                <w:sz w:val="24"/>
                <w:szCs w:val="24"/>
                <w:lang w:val="en-GB"/>
              </w:rPr>
              <w:t xml:space="preserve"> **</w:t>
            </w:r>
          </w:p>
        </w:tc>
      </w:tr>
      <w:tr w:rsidR="00872845"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€12,000</w:t>
            </w:r>
          </w:p>
        </w:tc>
        <w:tc>
          <w:tcPr>
            <w:tcW w:w="2428"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872845"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€12,000 but not over €24,000</w:t>
            </w:r>
          </w:p>
        </w:tc>
        <w:tc>
          <w:tcPr>
            <w:tcW w:w="2428" w:type="dxa"/>
            <w:tcBorders>
              <w:top w:val="single" w:sz="4" w:space="0" w:color="auto"/>
              <w:left w:val="single" w:sz="4" w:space="0" w:color="auto"/>
              <w:bottom w:val="single" w:sz="4" w:space="0" w:color="auto"/>
              <w:right w:val="single" w:sz="4" w:space="0" w:color="auto"/>
            </w:tcBorders>
            <w:hideMark/>
          </w:tcPr>
          <w:p w:rsidR="00872845" w:rsidRPr="009233BB" w:rsidRDefault="00152720" w:rsidP="00152720">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6%</w:t>
            </w:r>
          </w:p>
        </w:tc>
      </w:tr>
      <w:tr w:rsidR="00872845"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€24,000 but not over €60,000</w:t>
            </w:r>
          </w:p>
        </w:tc>
        <w:tc>
          <w:tcPr>
            <w:tcW w:w="2428"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9</w:t>
            </w:r>
            <w:r w:rsidR="00152720">
              <w:rPr>
                <w:rFonts w:asciiTheme="minorHAnsi" w:hAnsiTheme="minorHAnsi" w:cstheme="minorHAnsi"/>
                <w:sz w:val="24"/>
                <w:szCs w:val="24"/>
                <w:lang w:val="en-GB"/>
              </w:rPr>
              <w:t>%</w:t>
            </w:r>
          </w:p>
        </w:tc>
      </w:tr>
      <w:tr w:rsidR="00872845"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12</w:t>
            </w:r>
            <w:r w:rsidR="00152720">
              <w:rPr>
                <w:rFonts w:asciiTheme="minorHAnsi" w:hAnsiTheme="minorHAnsi" w:cstheme="minorHAnsi"/>
                <w:sz w:val="24"/>
                <w:szCs w:val="24"/>
                <w:lang w:val="en-GB"/>
              </w:rPr>
              <w:t>%</w:t>
            </w:r>
          </w:p>
        </w:tc>
      </w:tr>
      <w:tr w:rsidR="00872845"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872845" w:rsidRPr="009233BB" w:rsidRDefault="00872845"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20</w:t>
            </w:r>
            <w:r w:rsidR="00152720">
              <w:rPr>
                <w:rFonts w:asciiTheme="minorHAnsi" w:hAnsiTheme="minorHAnsi" w:cstheme="minorHAnsi"/>
                <w:sz w:val="24"/>
                <w:szCs w:val="24"/>
                <w:lang w:val="en-GB"/>
              </w:rPr>
              <w:t>%</w:t>
            </w:r>
          </w:p>
        </w:tc>
      </w:tr>
    </w:tbl>
    <w:p w:rsidR="00872845" w:rsidRPr="000D5F44" w:rsidRDefault="00872845" w:rsidP="00872845">
      <w:pPr>
        <w:jc w:val="both"/>
        <w:rPr>
          <w:rFonts w:asciiTheme="minorHAnsi" w:hAnsiTheme="minorHAnsi" w:cstheme="minorHAnsi"/>
          <w:sz w:val="20"/>
          <w:szCs w:val="20"/>
        </w:rPr>
      </w:pPr>
      <w:r w:rsidRPr="000D5F44">
        <w:rPr>
          <w:rFonts w:asciiTheme="minorHAnsi" w:hAnsiTheme="minorHAnsi" w:cstheme="minorHAnsi"/>
          <w:sz w:val="20"/>
          <w:szCs w:val="20"/>
        </w:rPr>
        <w:t>* Adjusted to inc</w:t>
      </w:r>
      <w:r w:rsidR="000D5F44">
        <w:rPr>
          <w:rFonts w:asciiTheme="minorHAnsi" w:hAnsiTheme="minorHAnsi" w:cstheme="minorHAnsi"/>
          <w:sz w:val="20"/>
          <w:szCs w:val="20"/>
        </w:rPr>
        <w:t>lude</w:t>
      </w:r>
      <w:r w:rsidRPr="000D5F44">
        <w:rPr>
          <w:rFonts w:asciiTheme="minorHAnsi" w:hAnsiTheme="minorHAnsi" w:cstheme="minorHAnsi"/>
          <w:sz w:val="20"/>
          <w:szCs w:val="20"/>
        </w:rPr>
        <w:t xml:space="preserve"> 20% top rate introduced on 1 January 2012</w:t>
      </w:r>
      <w:r w:rsidR="00897238">
        <w:rPr>
          <w:rFonts w:asciiTheme="minorHAnsi" w:hAnsiTheme="minorHAnsi" w:cstheme="minorHAnsi"/>
          <w:sz w:val="20"/>
          <w:szCs w:val="20"/>
        </w:rPr>
        <w:t xml:space="preserve"> (</w:t>
      </w:r>
      <w:r w:rsidR="00C66E0C">
        <w:rPr>
          <w:rFonts w:asciiTheme="minorHAnsi" w:hAnsiTheme="minorHAnsi" w:cstheme="minorHAnsi"/>
          <w:sz w:val="20"/>
          <w:szCs w:val="20"/>
        </w:rPr>
        <w:t>previously</w:t>
      </w:r>
      <w:r w:rsidR="00897238">
        <w:rPr>
          <w:rFonts w:asciiTheme="minorHAnsi" w:hAnsiTheme="minorHAnsi" w:cstheme="minorHAnsi"/>
          <w:sz w:val="20"/>
          <w:szCs w:val="20"/>
        </w:rPr>
        <w:t xml:space="preserve"> </w:t>
      </w:r>
      <w:r w:rsidR="00C66E0C">
        <w:rPr>
          <w:rFonts w:asciiTheme="minorHAnsi" w:hAnsiTheme="minorHAnsi" w:cstheme="minorHAnsi"/>
          <w:sz w:val="20"/>
          <w:szCs w:val="20"/>
        </w:rPr>
        <w:t>12% on any amount over €60,000)</w:t>
      </w:r>
      <w:r w:rsidR="001256DB">
        <w:rPr>
          <w:rFonts w:asciiTheme="minorHAnsi" w:hAnsiTheme="minorHAnsi" w:cstheme="minorHAnsi"/>
          <w:sz w:val="20"/>
          <w:szCs w:val="20"/>
        </w:rPr>
        <w:t>.</w:t>
      </w:r>
      <w:r w:rsidRPr="000D5F44">
        <w:rPr>
          <w:rFonts w:asciiTheme="minorHAnsi" w:hAnsiTheme="minorHAnsi" w:cstheme="minorHAnsi"/>
          <w:sz w:val="20"/>
          <w:szCs w:val="20"/>
        </w:rPr>
        <w:t xml:space="preserve"> </w:t>
      </w:r>
    </w:p>
    <w:p w:rsidR="00102FB4" w:rsidRPr="00102FB4" w:rsidRDefault="00102FB4" w:rsidP="00F359D6">
      <w:pPr>
        <w:contextualSpacing/>
        <w:jc w:val="both"/>
        <w:rPr>
          <w:rFonts w:asciiTheme="minorHAnsi" w:hAnsiTheme="minorHAnsi" w:cstheme="minorHAnsi"/>
          <w:sz w:val="20"/>
          <w:szCs w:val="20"/>
        </w:rPr>
      </w:pPr>
      <w:r w:rsidRPr="00102FB4">
        <w:rPr>
          <w:rFonts w:asciiTheme="minorHAnsi" w:hAnsiTheme="minorHAnsi" w:cstheme="minorHAnsi"/>
          <w:sz w:val="20"/>
          <w:szCs w:val="20"/>
        </w:rPr>
        <w:t>** The band-specific reduction rates (in this and every other PSPR table) refer to the slices of pension income in each band; they do not apply to the entire pension.</w:t>
      </w:r>
    </w:p>
    <w:p w:rsidR="001E2B59" w:rsidRPr="001E2B59" w:rsidRDefault="001E2B59" w:rsidP="00F359D6">
      <w:pPr>
        <w:contextualSpacing/>
        <w:jc w:val="both"/>
        <w:rPr>
          <w:rFonts w:asciiTheme="minorHAnsi" w:hAnsiTheme="minorHAnsi" w:cstheme="minorHAnsi"/>
          <w:b/>
        </w:rPr>
      </w:pPr>
      <w:r w:rsidRPr="001E2B59">
        <w:rPr>
          <w:rFonts w:asciiTheme="minorHAnsi" w:hAnsiTheme="minorHAnsi" w:cstheme="minorHAnsi"/>
          <w:b/>
        </w:rPr>
        <w:lastRenderedPageBreak/>
        <w:t>PSPR rates from 1 July 2013 to 31 December 2015</w:t>
      </w:r>
    </w:p>
    <w:p w:rsidR="001E2B59" w:rsidRDefault="001E2B59" w:rsidP="00F359D6">
      <w:pPr>
        <w:contextualSpacing/>
        <w:jc w:val="both"/>
        <w:rPr>
          <w:rFonts w:asciiTheme="minorHAnsi" w:hAnsiTheme="minorHAnsi" w:cstheme="minorHAnsi"/>
        </w:rPr>
      </w:pPr>
    </w:p>
    <w:p w:rsidR="00797E74" w:rsidRDefault="005A6983" w:rsidP="00F359D6">
      <w:pPr>
        <w:contextualSpacing/>
        <w:jc w:val="both"/>
        <w:rPr>
          <w:rFonts w:asciiTheme="minorHAnsi" w:hAnsiTheme="minorHAnsi" w:cstheme="minorHAnsi"/>
        </w:rPr>
      </w:pPr>
      <w:r>
        <w:rPr>
          <w:rFonts w:asciiTheme="minorHAnsi" w:hAnsiTheme="minorHAnsi" w:cstheme="minorHAnsi"/>
        </w:rPr>
        <w:t>5</w:t>
      </w:r>
      <w:r w:rsidR="00606147">
        <w:rPr>
          <w:rFonts w:asciiTheme="minorHAnsi" w:hAnsiTheme="minorHAnsi" w:cstheme="minorHAnsi"/>
        </w:rPr>
        <w:t xml:space="preserve">. Pensions awarded </w:t>
      </w:r>
      <w:r w:rsidR="00050716">
        <w:rPr>
          <w:rFonts w:asciiTheme="minorHAnsi" w:hAnsiTheme="minorHAnsi" w:cstheme="minorHAnsi"/>
        </w:rPr>
        <w:t>in respect of retirements</w:t>
      </w:r>
      <w:r w:rsidR="001E2B59">
        <w:rPr>
          <w:rFonts w:asciiTheme="minorHAnsi" w:hAnsiTheme="minorHAnsi" w:cstheme="minorHAnsi"/>
        </w:rPr>
        <w:t xml:space="preserve"> </w:t>
      </w:r>
      <w:r w:rsidR="00562B7E">
        <w:rPr>
          <w:rFonts w:asciiTheme="minorHAnsi" w:hAnsiTheme="minorHAnsi" w:cstheme="minorHAnsi"/>
        </w:rPr>
        <w:t xml:space="preserve">after </w:t>
      </w:r>
      <w:r w:rsidR="00606147">
        <w:rPr>
          <w:rFonts w:asciiTheme="minorHAnsi" w:hAnsiTheme="minorHAnsi" w:cstheme="minorHAnsi"/>
        </w:rPr>
        <w:t>t</w:t>
      </w:r>
      <w:r w:rsidR="003B14E0">
        <w:rPr>
          <w:rFonts w:asciiTheme="minorHAnsi" w:hAnsiTheme="minorHAnsi" w:cstheme="minorHAnsi"/>
        </w:rPr>
        <w:t>he 2010</w:t>
      </w:r>
      <w:r w:rsidR="00606147">
        <w:rPr>
          <w:rFonts w:asciiTheme="minorHAnsi" w:hAnsiTheme="minorHAnsi" w:cstheme="minorHAnsi"/>
        </w:rPr>
        <w:t>–</w:t>
      </w:r>
      <w:r w:rsidR="003B14E0">
        <w:rPr>
          <w:rFonts w:asciiTheme="minorHAnsi" w:hAnsiTheme="minorHAnsi" w:cstheme="minorHAnsi"/>
        </w:rPr>
        <w:t>2012 grace period</w:t>
      </w:r>
      <w:r w:rsidR="001E2B59">
        <w:rPr>
          <w:rFonts w:asciiTheme="minorHAnsi" w:hAnsiTheme="minorHAnsi" w:cstheme="minorHAnsi"/>
        </w:rPr>
        <w:t xml:space="preserve"> (i.e. </w:t>
      </w:r>
      <w:r w:rsidR="00BD7473">
        <w:rPr>
          <w:rFonts w:asciiTheme="minorHAnsi" w:hAnsiTheme="minorHAnsi" w:cstheme="minorHAnsi"/>
        </w:rPr>
        <w:t>after end-Feb</w:t>
      </w:r>
      <w:r w:rsidR="005D30F8">
        <w:rPr>
          <w:rFonts w:asciiTheme="minorHAnsi" w:hAnsiTheme="minorHAnsi" w:cstheme="minorHAnsi"/>
        </w:rPr>
        <w:t>ruary</w:t>
      </w:r>
      <w:r w:rsidR="00BD7473">
        <w:rPr>
          <w:rFonts w:asciiTheme="minorHAnsi" w:hAnsiTheme="minorHAnsi" w:cstheme="minorHAnsi"/>
        </w:rPr>
        <w:t xml:space="preserve"> </w:t>
      </w:r>
      <w:r w:rsidR="00562B7E">
        <w:rPr>
          <w:rFonts w:asciiTheme="minorHAnsi" w:hAnsiTheme="minorHAnsi" w:cstheme="minorHAnsi"/>
        </w:rPr>
        <w:t>2012</w:t>
      </w:r>
      <w:r w:rsidR="001E2B59">
        <w:rPr>
          <w:rFonts w:asciiTheme="minorHAnsi" w:hAnsiTheme="minorHAnsi" w:cstheme="minorHAnsi"/>
        </w:rPr>
        <w:t>)</w:t>
      </w:r>
      <w:r w:rsidR="003B14E0">
        <w:rPr>
          <w:rFonts w:asciiTheme="minorHAnsi" w:hAnsiTheme="minorHAnsi" w:cstheme="minorHAnsi"/>
        </w:rPr>
        <w:t xml:space="preserve"> </w:t>
      </w:r>
      <w:r w:rsidR="00562B7E">
        <w:rPr>
          <w:rFonts w:asciiTheme="minorHAnsi" w:hAnsiTheme="minorHAnsi" w:cstheme="minorHAnsi"/>
        </w:rPr>
        <w:t>were initially fully exempt from PSPR</w:t>
      </w:r>
      <w:r w:rsidR="006B6256">
        <w:rPr>
          <w:rFonts w:asciiTheme="minorHAnsi" w:hAnsiTheme="minorHAnsi" w:cstheme="minorHAnsi"/>
        </w:rPr>
        <w:t xml:space="preserve">. </w:t>
      </w:r>
      <w:r w:rsidR="005D30F8">
        <w:rPr>
          <w:rFonts w:asciiTheme="minorHAnsi" w:hAnsiTheme="minorHAnsi" w:cstheme="minorHAnsi"/>
        </w:rPr>
        <w:t>T</w:t>
      </w:r>
      <w:r w:rsidR="003B14E0">
        <w:rPr>
          <w:rFonts w:asciiTheme="minorHAnsi" w:hAnsiTheme="minorHAnsi" w:cstheme="minorHAnsi"/>
        </w:rPr>
        <w:t>h</w:t>
      </w:r>
      <w:r w:rsidR="004710AE">
        <w:rPr>
          <w:rFonts w:asciiTheme="minorHAnsi" w:hAnsiTheme="minorHAnsi" w:cstheme="minorHAnsi"/>
        </w:rPr>
        <w:t>is</w:t>
      </w:r>
      <w:r w:rsidR="003B14E0">
        <w:rPr>
          <w:rFonts w:asciiTheme="minorHAnsi" w:hAnsiTheme="minorHAnsi" w:cstheme="minorHAnsi"/>
        </w:rPr>
        <w:t xml:space="preserve"> changed with the </w:t>
      </w:r>
      <w:r w:rsidR="00A564CB">
        <w:rPr>
          <w:rFonts w:asciiTheme="minorHAnsi" w:hAnsiTheme="minorHAnsi" w:cstheme="minorHAnsi"/>
        </w:rPr>
        <w:t>enactment</w:t>
      </w:r>
      <w:r w:rsidR="005D30F8">
        <w:rPr>
          <w:rFonts w:asciiTheme="minorHAnsi" w:hAnsiTheme="minorHAnsi" w:cstheme="minorHAnsi"/>
        </w:rPr>
        <w:t xml:space="preserve"> </w:t>
      </w:r>
      <w:r w:rsidR="003B14E0">
        <w:rPr>
          <w:rFonts w:asciiTheme="minorHAnsi" w:hAnsiTheme="minorHAnsi" w:cstheme="minorHAnsi"/>
        </w:rPr>
        <w:t xml:space="preserve">of </w:t>
      </w:r>
      <w:r w:rsidR="00A564CB">
        <w:rPr>
          <w:rFonts w:asciiTheme="minorHAnsi" w:hAnsiTheme="minorHAnsi" w:cstheme="minorHAnsi"/>
        </w:rPr>
        <w:t>the Financial Emergency Measures in the Public Interest Act 2013 (</w:t>
      </w:r>
      <w:r w:rsidR="007D6550">
        <w:rPr>
          <w:rFonts w:asciiTheme="minorHAnsi" w:hAnsiTheme="minorHAnsi" w:cstheme="minorHAnsi"/>
        </w:rPr>
        <w:t>“</w:t>
      </w:r>
      <w:r w:rsidR="008002AC">
        <w:rPr>
          <w:rFonts w:asciiTheme="minorHAnsi" w:hAnsiTheme="minorHAnsi" w:cstheme="minorHAnsi"/>
        </w:rPr>
        <w:t>FEMPI 2013</w:t>
      </w:r>
      <w:r w:rsidR="007D6550">
        <w:rPr>
          <w:rFonts w:asciiTheme="minorHAnsi" w:hAnsiTheme="minorHAnsi" w:cstheme="minorHAnsi"/>
        </w:rPr>
        <w:t>”</w:t>
      </w:r>
      <w:r w:rsidR="00A564CB">
        <w:rPr>
          <w:rFonts w:asciiTheme="minorHAnsi" w:hAnsiTheme="minorHAnsi" w:cstheme="minorHAnsi"/>
        </w:rPr>
        <w:t>)</w:t>
      </w:r>
      <w:r w:rsidR="008002AC">
        <w:rPr>
          <w:rFonts w:asciiTheme="minorHAnsi" w:hAnsiTheme="minorHAnsi" w:cstheme="minorHAnsi"/>
        </w:rPr>
        <w:t xml:space="preserve">, which </w:t>
      </w:r>
      <w:r w:rsidR="00B220E8">
        <w:rPr>
          <w:rFonts w:asciiTheme="minorHAnsi" w:hAnsiTheme="minorHAnsi" w:cstheme="minorHAnsi"/>
        </w:rPr>
        <w:t>increased</w:t>
      </w:r>
      <w:r w:rsidR="00050716">
        <w:rPr>
          <w:rFonts w:asciiTheme="minorHAnsi" w:hAnsiTheme="minorHAnsi" w:cstheme="minorHAnsi"/>
        </w:rPr>
        <w:t xml:space="preserve"> </w:t>
      </w:r>
      <w:r w:rsidR="00B65341">
        <w:rPr>
          <w:rFonts w:asciiTheme="minorHAnsi" w:hAnsiTheme="minorHAnsi" w:cstheme="minorHAnsi"/>
        </w:rPr>
        <w:t>and</w:t>
      </w:r>
      <w:r w:rsidR="00050716">
        <w:rPr>
          <w:rFonts w:asciiTheme="minorHAnsi" w:hAnsiTheme="minorHAnsi" w:cstheme="minorHAnsi"/>
        </w:rPr>
        <w:t xml:space="preserve"> </w:t>
      </w:r>
      <w:r w:rsidR="00B220E8">
        <w:rPr>
          <w:rFonts w:asciiTheme="minorHAnsi" w:hAnsiTheme="minorHAnsi" w:cstheme="minorHAnsi"/>
        </w:rPr>
        <w:t xml:space="preserve">extended </w:t>
      </w:r>
      <w:r w:rsidR="00797E74">
        <w:rPr>
          <w:rFonts w:asciiTheme="minorHAnsi" w:hAnsiTheme="minorHAnsi" w:cstheme="minorHAnsi"/>
        </w:rPr>
        <w:t xml:space="preserve">PSPR </w:t>
      </w:r>
      <w:r w:rsidR="00B220E8">
        <w:rPr>
          <w:rFonts w:asciiTheme="minorHAnsi" w:hAnsiTheme="minorHAnsi" w:cstheme="minorHAnsi"/>
        </w:rPr>
        <w:t xml:space="preserve">to </w:t>
      </w:r>
      <w:r w:rsidR="002D1A3F">
        <w:rPr>
          <w:rFonts w:asciiTheme="minorHAnsi" w:hAnsiTheme="minorHAnsi" w:cstheme="minorHAnsi"/>
        </w:rPr>
        <w:t>extract</w:t>
      </w:r>
      <w:r w:rsidR="00797E74">
        <w:rPr>
          <w:rFonts w:asciiTheme="minorHAnsi" w:hAnsiTheme="minorHAnsi" w:cstheme="minorHAnsi"/>
        </w:rPr>
        <w:t xml:space="preserve"> </w:t>
      </w:r>
      <w:r w:rsidR="005D30F8">
        <w:rPr>
          <w:rFonts w:asciiTheme="minorHAnsi" w:hAnsiTheme="minorHAnsi" w:cstheme="minorHAnsi"/>
        </w:rPr>
        <w:t>extra</w:t>
      </w:r>
      <w:r w:rsidR="00797E74">
        <w:rPr>
          <w:rFonts w:asciiTheme="minorHAnsi" w:hAnsiTheme="minorHAnsi" w:cstheme="minorHAnsi"/>
        </w:rPr>
        <w:t xml:space="preserve"> </w:t>
      </w:r>
      <w:r w:rsidR="00B220E8">
        <w:rPr>
          <w:rFonts w:asciiTheme="minorHAnsi" w:hAnsiTheme="minorHAnsi" w:cstheme="minorHAnsi"/>
        </w:rPr>
        <w:t xml:space="preserve">revenue </w:t>
      </w:r>
      <w:r w:rsidR="00797E74">
        <w:rPr>
          <w:rFonts w:asciiTheme="minorHAnsi" w:hAnsiTheme="minorHAnsi" w:cstheme="minorHAnsi"/>
        </w:rPr>
        <w:t xml:space="preserve">from </w:t>
      </w:r>
      <w:r w:rsidR="00797E74" w:rsidRPr="003B14E0">
        <w:rPr>
          <w:rFonts w:asciiTheme="minorHAnsi" w:hAnsiTheme="minorHAnsi" w:cstheme="minorHAnsi"/>
          <w:b/>
        </w:rPr>
        <w:t>all</w:t>
      </w:r>
      <w:r w:rsidR="00797E74">
        <w:rPr>
          <w:rFonts w:asciiTheme="minorHAnsi" w:hAnsiTheme="minorHAnsi" w:cstheme="minorHAnsi"/>
        </w:rPr>
        <w:t xml:space="preserve"> higher value </w:t>
      </w:r>
      <w:r w:rsidR="00050716">
        <w:rPr>
          <w:rFonts w:asciiTheme="minorHAnsi" w:hAnsiTheme="minorHAnsi" w:cstheme="minorHAnsi"/>
        </w:rPr>
        <w:t xml:space="preserve">public service </w:t>
      </w:r>
      <w:r w:rsidR="00797E74">
        <w:rPr>
          <w:rFonts w:asciiTheme="minorHAnsi" w:hAnsiTheme="minorHAnsi" w:cstheme="minorHAnsi"/>
        </w:rPr>
        <w:t xml:space="preserve">pensions. </w:t>
      </w:r>
      <w:r w:rsidR="001E2B59" w:rsidRPr="007B4901">
        <w:rPr>
          <w:rFonts w:asciiTheme="minorHAnsi" w:hAnsiTheme="minorHAnsi" w:cstheme="minorHAnsi"/>
          <w:b/>
        </w:rPr>
        <w:t>T</w:t>
      </w:r>
      <w:r w:rsidR="00797E74" w:rsidRPr="007B4901">
        <w:rPr>
          <w:rFonts w:asciiTheme="minorHAnsi" w:hAnsiTheme="minorHAnsi" w:cstheme="minorHAnsi"/>
          <w:b/>
        </w:rPr>
        <w:t xml:space="preserve">he </w:t>
      </w:r>
      <w:r w:rsidR="001E2B59" w:rsidRPr="007B4901">
        <w:rPr>
          <w:rFonts w:asciiTheme="minorHAnsi" w:hAnsiTheme="minorHAnsi" w:cstheme="minorHAnsi"/>
          <w:b/>
        </w:rPr>
        <w:t xml:space="preserve">full </w:t>
      </w:r>
      <w:r w:rsidR="003B14E0" w:rsidRPr="007B4901">
        <w:rPr>
          <w:rFonts w:asciiTheme="minorHAnsi" w:hAnsiTheme="minorHAnsi" w:cstheme="minorHAnsi"/>
          <w:b/>
        </w:rPr>
        <w:t xml:space="preserve">PSPR </w:t>
      </w:r>
      <w:r w:rsidR="00797E74" w:rsidRPr="007B4901">
        <w:rPr>
          <w:rFonts w:asciiTheme="minorHAnsi" w:hAnsiTheme="minorHAnsi" w:cstheme="minorHAnsi"/>
          <w:b/>
        </w:rPr>
        <w:t xml:space="preserve">position </w:t>
      </w:r>
      <w:r w:rsidR="00050716">
        <w:rPr>
          <w:rFonts w:asciiTheme="minorHAnsi" w:hAnsiTheme="minorHAnsi" w:cstheme="minorHAnsi"/>
          <w:b/>
        </w:rPr>
        <w:t xml:space="preserve">following </w:t>
      </w:r>
      <w:r w:rsidR="00565D5B" w:rsidRPr="007B4901">
        <w:rPr>
          <w:rFonts w:asciiTheme="minorHAnsi" w:hAnsiTheme="minorHAnsi" w:cstheme="minorHAnsi"/>
          <w:b/>
        </w:rPr>
        <w:t>FEMPI 2013</w:t>
      </w:r>
      <w:r w:rsidR="000D5F44" w:rsidRPr="007B4901">
        <w:rPr>
          <w:rFonts w:asciiTheme="minorHAnsi" w:hAnsiTheme="minorHAnsi" w:cstheme="minorHAnsi"/>
          <w:b/>
        </w:rPr>
        <w:t xml:space="preserve">, which </w:t>
      </w:r>
      <w:r w:rsidR="000D5F44" w:rsidRPr="00050716">
        <w:rPr>
          <w:rFonts w:asciiTheme="minorHAnsi" w:hAnsiTheme="minorHAnsi" w:cstheme="minorHAnsi"/>
          <w:b/>
        </w:rPr>
        <w:t>is</w:t>
      </w:r>
      <w:r w:rsidR="000D5F44">
        <w:rPr>
          <w:rFonts w:asciiTheme="minorHAnsi" w:hAnsiTheme="minorHAnsi" w:cstheme="minorHAnsi"/>
        </w:rPr>
        <w:t xml:space="preserve"> </w:t>
      </w:r>
      <w:r w:rsidR="000D5F44" w:rsidRPr="00565D5B">
        <w:rPr>
          <w:rFonts w:asciiTheme="minorHAnsi" w:hAnsiTheme="minorHAnsi" w:cstheme="minorHAnsi"/>
          <w:b/>
        </w:rPr>
        <w:t xml:space="preserve">the </w:t>
      </w:r>
      <w:r w:rsidR="00565D5B" w:rsidRPr="00565D5B">
        <w:rPr>
          <w:rFonts w:asciiTheme="minorHAnsi" w:hAnsiTheme="minorHAnsi" w:cstheme="minorHAnsi"/>
          <w:b/>
        </w:rPr>
        <w:t xml:space="preserve">position </w:t>
      </w:r>
      <w:r w:rsidR="000D5F44" w:rsidRPr="00565D5B">
        <w:rPr>
          <w:rFonts w:asciiTheme="minorHAnsi" w:hAnsiTheme="minorHAnsi" w:cstheme="minorHAnsi"/>
          <w:b/>
        </w:rPr>
        <w:t>prevail</w:t>
      </w:r>
      <w:r w:rsidR="00E964F1">
        <w:rPr>
          <w:rFonts w:asciiTheme="minorHAnsi" w:hAnsiTheme="minorHAnsi" w:cstheme="minorHAnsi"/>
          <w:b/>
        </w:rPr>
        <w:t>ing</w:t>
      </w:r>
      <w:r w:rsidR="000D5F44" w:rsidRPr="00565D5B">
        <w:rPr>
          <w:rFonts w:asciiTheme="minorHAnsi" w:hAnsiTheme="minorHAnsi" w:cstheme="minorHAnsi"/>
          <w:b/>
        </w:rPr>
        <w:t xml:space="preserve"> </w:t>
      </w:r>
      <w:r w:rsidR="00565D5B">
        <w:rPr>
          <w:rFonts w:asciiTheme="minorHAnsi" w:hAnsiTheme="minorHAnsi" w:cstheme="minorHAnsi"/>
          <w:b/>
        </w:rPr>
        <w:t>f</w:t>
      </w:r>
      <w:r w:rsidR="000D5F44" w:rsidRPr="00565D5B">
        <w:rPr>
          <w:rFonts w:asciiTheme="minorHAnsi" w:hAnsiTheme="minorHAnsi" w:cstheme="minorHAnsi"/>
          <w:b/>
        </w:rPr>
        <w:t>rom 1 July 2013 to 31 Dec</w:t>
      </w:r>
      <w:r w:rsidR="00BD7473" w:rsidRPr="00565D5B">
        <w:rPr>
          <w:rFonts w:asciiTheme="minorHAnsi" w:hAnsiTheme="minorHAnsi" w:cstheme="minorHAnsi"/>
          <w:b/>
        </w:rPr>
        <w:t>ember 2015</w:t>
      </w:r>
      <w:r w:rsidR="00BD7473">
        <w:rPr>
          <w:rFonts w:asciiTheme="minorHAnsi" w:hAnsiTheme="minorHAnsi" w:cstheme="minorHAnsi"/>
        </w:rPr>
        <w:t>, is set out below,</w:t>
      </w:r>
      <w:r w:rsidR="000D5F44">
        <w:rPr>
          <w:rFonts w:asciiTheme="minorHAnsi" w:hAnsiTheme="minorHAnsi" w:cstheme="minorHAnsi"/>
        </w:rPr>
        <w:t xml:space="preserve"> </w:t>
      </w:r>
      <w:r w:rsidR="00BD7473">
        <w:rPr>
          <w:rFonts w:asciiTheme="minorHAnsi" w:hAnsiTheme="minorHAnsi" w:cstheme="minorHAnsi"/>
        </w:rPr>
        <w:t xml:space="preserve">with </w:t>
      </w:r>
      <w:r w:rsidR="000D5F44">
        <w:rPr>
          <w:rFonts w:asciiTheme="minorHAnsi" w:hAnsiTheme="minorHAnsi" w:cstheme="minorHAnsi"/>
        </w:rPr>
        <w:t>p</w:t>
      </w:r>
      <w:r w:rsidR="00872845">
        <w:rPr>
          <w:rFonts w:asciiTheme="minorHAnsi" w:hAnsiTheme="minorHAnsi" w:cstheme="minorHAnsi"/>
        </w:rPr>
        <w:t xml:space="preserve">ensions </w:t>
      </w:r>
      <w:r w:rsidR="008156EE">
        <w:rPr>
          <w:rFonts w:asciiTheme="minorHAnsi" w:hAnsiTheme="minorHAnsi" w:cstheme="minorHAnsi"/>
        </w:rPr>
        <w:t>falling i</w:t>
      </w:r>
      <w:r w:rsidR="00872845">
        <w:rPr>
          <w:rFonts w:asciiTheme="minorHAnsi" w:hAnsiTheme="minorHAnsi" w:cstheme="minorHAnsi"/>
        </w:rPr>
        <w:t>nto three groups</w:t>
      </w:r>
      <w:r w:rsidR="00797E74">
        <w:rPr>
          <w:rFonts w:asciiTheme="minorHAnsi" w:hAnsiTheme="minorHAnsi" w:cstheme="minorHAnsi"/>
        </w:rPr>
        <w:t>:</w:t>
      </w:r>
    </w:p>
    <w:p w:rsidR="00565D5B" w:rsidRDefault="00565D5B" w:rsidP="00F359D6">
      <w:pPr>
        <w:contextualSpacing/>
        <w:jc w:val="both"/>
        <w:rPr>
          <w:rFonts w:asciiTheme="minorHAnsi" w:hAnsiTheme="minorHAnsi" w:cstheme="minorHAnsi"/>
        </w:rPr>
      </w:pPr>
    </w:p>
    <w:p w:rsidR="00936553" w:rsidRPr="008469B6" w:rsidRDefault="00872845" w:rsidP="00F359D6">
      <w:pPr>
        <w:contextualSpacing/>
        <w:jc w:val="both"/>
        <w:rPr>
          <w:rFonts w:asciiTheme="minorHAnsi" w:hAnsiTheme="minorHAnsi" w:cstheme="minorHAnsi"/>
          <w:u w:val="single"/>
        </w:rPr>
      </w:pPr>
      <w:r w:rsidRPr="008469B6">
        <w:rPr>
          <w:rFonts w:asciiTheme="minorHAnsi" w:hAnsiTheme="minorHAnsi" w:cstheme="minorHAnsi"/>
          <w:b/>
          <w:u w:val="single"/>
        </w:rPr>
        <w:t xml:space="preserve">Group </w:t>
      </w:r>
      <w:r w:rsidR="00142D56" w:rsidRPr="008469B6">
        <w:rPr>
          <w:rFonts w:asciiTheme="minorHAnsi" w:hAnsiTheme="minorHAnsi" w:cstheme="minorHAnsi"/>
          <w:b/>
          <w:u w:val="single"/>
        </w:rPr>
        <w:t>1</w:t>
      </w:r>
      <w:r w:rsidR="00A917F1" w:rsidRPr="008469B6">
        <w:rPr>
          <w:rFonts w:asciiTheme="minorHAnsi" w:hAnsiTheme="minorHAnsi" w:cstheme="minorHAnsi"/>
          <w:b/>
          <w:u w:val="single"/>
        </w:rPr>
        <w:t>:</w:t>
      </w:r>
      <w:r w:rsidRPr="008469B6">
        <w:rPr>
          <w:rFonts w:asciiTheme="minorHAnsi" w:hAnsiTheme="minorHAnsi" w:cstheme="minorHAnsi"/>
          <w:b/>
          <w:u w:val="single"/>
        </w:rPr>
        <w:t xml:space="preserve"> </w:t>
      </w:r>
      <w:r w:rsidR="000D5F44" w:rsidRPr="008469B6">
        <w:rPr>
          <w:rFonts w:asciiTheme="minorHAnsi" w:hAnsiTheme="minorHAnsi" w:cstheme="minorHAnsi"/>
          <w:b/>
          <w:u w:val="single"/>
        </w:rPr>
        <w:t>P</w:t>
      </w:r>
      <w:r w:rsidRPr="008469B6">
        <w:rPr>
          <w:rFonts w:asciiTheme="minorHAnsi" w:hAnsiTheme="minorHAnsi" w:cstheme="minorHAnsi"/>
          <w:b/>
          <w:u w:val="single"/>
        </w:rPr>
        <w:t>re</w:t>
      </w:r>
      <w:r w:rsidR="000D5F44" w:rsidRPr="008469B6">
        <w:rPr>
          <w:rFonts w:asciiTheme="minorHAnsi" w:hAnsiTheme="minorHAnsi" w:cstheme="minorHAnsi"/>
          <w:b/>
          <w:u w:val="single"/>
        </w:rPr>
        <w:t>-</w:t>
      </w:r>
      <w:r w:rsidRPr="008469B6">
        <w:rPr>
          <w:rFonts w:asciiTheme="minorHAnsi" w:hAnsiTheme="minorHAnsi" w:cstheme="minorHAnsi"/>
          <w:b/>
          <w:u w:val="single"/>
        </w:rPr>
        <w:t xml:space="preserve">March 2012 </w:t>
      </w:r>
      <w:r w:rsidR="000D5F44" w:rsidRPr="008469B6">
        <w:rPr>
          <w:rFonts w:asciiTheme="minorHAnsi" w:hAnsiTheme="minorHAnsi" w:cstheme="minorHAnsi"/>
          <w:b/>
          <w:u w:val="single"/>
        </w:rPr>
        <w:t xml:space="preserve">pensions </w:t>
      </w:r>
      <w:r w:rsidR="00FB573B" w:rsidRPr="008469B6">
        <w:rPr>
          <w:rFonts w:asciiTheme="minorHAnsi" w:hAnsiTheme="minorHAnsi" w:cstheme="minorHAnsi"/>
          <w:b/>
          <w:u w:val="single"/>
        </w:rPr>
        <w:t>up to €34,132 (before PSPR)</w:t>
      </w:r>
    </w:p>
    <w:p w:rsidR="00872845" w:rsidRDefault="000D5F44" w:rsidP="00F359D6">
      <w:pPr>
        <w:contextualSpacing/>
        <w:jc w:val="both"/>
        <w:rPr>
          <w:rFonts w:asciiTheme="minorHAnsi" w:hAnsiTheme="minorHAnsi" w:cstheme="minorHAnsi"/>
        </w:rPr>
      </w:pPr>
      <w:r>
        <w:rPr>
          <w:rFonts w:asciiTheme="minorHAnsi" w:hAnsiTheme="minorHAnsi" w:cstheme="minorHAnsi"/>
        </w:rPr>
        <w:t xml:space="preserve">PSPR continued to apply to these pensions based on the original PSPR </w:t>
      </w:r>
      <w:r w:rsidR="00287881">
        <w:rPr>
          <w:rFonts w:asciiTheme="minorHAnsi" w:hAnsiTheme="minorHAnsi" w:cstheme="minorHAnsi"/>
        </w:rPr>
        <w:t>rates</w:t>
      </w:r>
      <w:r w:rsidR="00936553">
        <w:rPr>
          <w:rFonts w:asciiTheme="minorHAnsi" w:hAnsiTheme="minorHAnsi" w:cstheme="minorHAnsi"/>
        </w:rPr>
        <w:t xml:space="preserve"> as </w:t>
      </w:r>
      <w:r w:rsidR="00287881">
        <w:rPr>
          <w:rFonts w:asciiTheme="minorHAnsi" w:hAnsiTheme="minorHAnsi" w:cstheme="minorHAnsi"/>
        </w:rPr>
        <w:t xml:space="preserve">given </w:t>
      </w:r>
      <w:r>
        <w:rPr>
          <w:rFonts w:asciiTheme="minorHAnsi" w:hAnsiTheme="minorHAnsi" w:cstheme="minorHAnsi"/>
        </w:rPr>
        <w:t xml:space="preserve">in </w:t>
      </w:r>
      <w:r w:rsidR="00287881">
        <w:rPr>
          <w:rFonts w:asciiTheme="minorHAnsi" w:hAnsiTheme="minorHAnsi" w:cstheme="minorHAnsi"/>
        </w:rPr>
        <w:t xml:space="preserve">the table at </w:t>
      </w:r>
      <w:r>
        <w:rPr>
          <w:rFonts w:asciiTheme="minorHAnsi" w:hAnsiTheme="minorHAnsi" w:cstheme="minorHAnsi"/>
        </w:rPr>
        <w:t>parag</w:t>
      </w:r>
      <w:r w:rsidR="00936553">
        <w:rPr>
          <w:rFonts w:asciiTheme="minorHAnsi" w:hAnsiTheme="minorHAnsi" w:cstheme="minorHAnsi"/>
        </w:rPr>
        <w:t xml:space="preserve">raph </w:t>
      </w:r>
      <w:r w:rsidR="005A6983">
        <w:rPr>
          <w:rFonts w:asciiTheme="minorHAnsi" w:hAnsiTheme="minorHAnsi" w:cstheme="minorHAnsi"/>
        </w:rPr>
        <w:t>4</w:t>
      </w:r>
      <w:r w:rsidR="00936553">
        <w:rPr>
          <w:rFonts w:asciiTheme="minorHAnsi" w:hAnsiTheme="minorHAnsi" w:cstheme="minorHAnsi"/>
        </w:rPr>
        <w:t xml:space="preserve"> above</w:t>
      </w:r>
      <w:r w:rsidR="00287881">
        <w:rPr>
          <w:rFonts w:asciiTheme="minorHAnsi" w:hAnsiTheme="minorHAnsi" w:cstheme="minorHAnsi"/>
        </w:rPr>
        <w:t>. T</w:t>
      </w:r>
      <w:r w:rsidR="00936553">
        <w:rPr>
          <w:rFonts w:asciiTheme="minorHAnsi" w:hAnsiTheme="minorHAnsi" w:cstheme="minorHAnsi"/>
        </w:rPr>
        <w:t xml:space="preserve">hat table is repeated here </w:t>
      </w:r>
      <w:r w:rsidR="00287881">
        <w:rPr>
          <w:rFonts w:asciiTheme="minorHAnsi" w:hAnsiTheme="minorHAnsi" w:cstheme="minorHAnsi"/>
        </w:rPr>
        <w:t xml:space="preserve">in shortened </w:t>
      </w:r>
      <w:r w:rsidR="008D5F1F">
        <w:rPr>
          <w:rFonts w:asciiTheme="minorHAnsi" w:hAnsiTheme="minorHAnsi" w:cstheme="minorHAnsi"/>
        </w:rPr>
        <w:t>form</w:t>
      </w:r>
      <w:r w:rsidR="00C66E0C">
        <w:rPr>
          <w:rFonts w:asciiTheme="minorHAnsi" w:hAnsiTheme="minorHAnsi" w:cstheme="minorHAnsi"/>
        </w:rPr>
        <w:t>,</w:t>
      </w:r>
      <w:r w:rsidR="008D5F1F">
        <w:rPr>
          <w:rFonts w:asciiTheme="minorHAnsi" w:hAnsiTheme="minorHAnsi" w:cstheme="minorHAnsi"/>
        </w:rPr>
        <w:t xml:space="preserve"> </w:t>
      </w:r>
      <w:r w:rsidR="00287881">
        <w:rPr>
          <w:rFonts w:asciiTheme="minorHAnsi" w:hAnsiTheme="minorHAnsi" w:cstheme="minorHAnsi"/>
        </w:rPr>
        <w:t>e</w:t>
      </w:r>
      <w:r w:rsidR="00A564CB">
        <w:rPr>
          <w:rFonts w:asciiTheme="minorHAnsi" w:hAnsiTheme="minorHAnsi" w:cstheme="minorHAnsi"/>
        </w:rPr>
        <w:t xml:space="preserve">xcluding </w:t>
      </w:r>
      <w:r w:rsidR="00936553">
        <w:rPr>
          <w:rFonts w:asciiTheme="minorHAnsi" w:hAnsiTheme="minorHAnsi" w:cstheme="minorHAnsi"/>
        </w:rPr>
        <w:t xml:space="preserve">the </w:t>
      </w:r>
      <w:r w:rsidR="00A917F1">
        <w:rPr>
          <w:rFonts w:asciiTheme="minorHAnsi" w:hAnsiTheme="minorHAnsi" w:cstheme="minorHAnsi"/>
        </w:rPr>
        <w:t xml:space="preserve">two </w:t>
      </w:r>
      <w:r w:rsidR="00936553">
        <w:rPr>
          <w:rFonts w:asciiTheme="minorHAnsi" w:hAnsiTheme="minorHAnsi" w:cstheme="minorHAnsi"/>
        </w:rPr>
        <w:t>highe</w:t>
      </w:r>
      <w:r w:rsidR="00A917F1">
        <w:rPr>
          <w:rFonts w:asciiTheme="minorHAnsi" w:hAnsiTheme="minorHAnsi" w:cstheme="minorHAnsi"/>
        </w:rPr>
        <w:t>st</w:t>
      </w:r>
      <w:r w:rsidR="00936553">
        <w:rPr>
          <w:rFonts w:asciiTheme="minorHAnsi" w:hAnsiTheme="minorHAnsi" w:cstheme="minorHAnsi"/>
        </w:rPr>
        <w:t xml:space="preserve"> </w:t>
      </w:r>
      <w:r w:rsidR="007B4901">
        <w:rPr>
          <w:rFonts w:asciiTheme="minorHAnsi" w:hAnsiTheme="minorHAnsi" w:cstheme="minorHAnsi"/>
        </w:rPr>
        <w:t xml:space="preserve">money </w:t>
      </w:r>
      <w:r w:rsidR="00936553">
        <w:rPr>
          <w:rFonts w:asciiTheme="minorHAnsi" w:hAnsiTheme="minorHAnsi" w:cstheme="minorHAnsi"/>
        </w:rPr>
        <w:t>bands</w:t>
      </w:r>
      <w:r w:rsidR="008D5F1F">
        <w:rPr>
          <w:rFonts w:asciiTheme="minorHAnsi" w:hAnsiTheme="minorHAnsi" w:cstheme="minorHAnsi"/>
        </w:rPr>
        <w:t>,</w:t>
      </w:r>
      <w:r w:rsidR="00936553">
        <w:rPr>
          <w:rFonts w:asciiTheme="minorHAnsi" w:hAnsiTheme="minorHAnsi" w:cstheme="minorHAnsi"/>
        </w:rPr>
        <w:t xml:space="preserve"> which are not relevant </w:t>
      </w:r>
      <w:r w:rsidR="00A917F1">
        <w:rPr>
          <w:rFonts w:asciiTheme="minorHAnsi" w:hAnsiTheme="minorHAnsi" w:cstheme="minorHAnsi"/>
        </w:rPr>
        <w:t>to</w:t>
      </w:r>
      <w:r w:rsidR="00936553">
        <w:rPr>
          <w:rFonts w:asciiTheme="minorHAnsi" w:hAnsiTheme="minorHAnsi" w:cstheme="minorHAnsi"/>
        </w:rPr>
        <w:t xml:space="preserve"> pensions </w:t>
      </w:r>
      <w:r w:rsidR="00A564CB">
        <w:rPr>
          <w:rFonts w:asciiTheme="minorHAnsi" w:hAnsiTheme="minorHAnsi" w:cstheme="minorHAnsi"/>
        </w:rPr>
        <w:t>up to</w:t>
      </w:r>
      <w:r w:rsidR="00936553">
        <w:rPr>
          <w:rFonts w:asciiTheme="minorHAnsi" w:hAnsiTheme="minorHAnsi" w:cstheme="minorHAnsi"/>
        </w:rPr>
        <w:t xml:space="preserve"> €34,132</w:t>
      </w:r>
      <w:r w:rsidR="00050716">
        <w:rPr>
          <w:rFonts w:asciiTheme="minorHAnsi" w:hAnsiTheme="minorHAnsi" w:cstheme="minorHAnsi"/>
        </w:rPr>
        <w:t>:</w:t>
      </w:r>
    </w:p>
    <w:p w:rsidR="004710AE" w:rsidRDefault="004710AE" w:rsidP="00872845">
      <w:pPr>
        <w:contextualSpacing/>
        <w:jc w:val="both"/>
        <w:rPr>
          <w:rFonts w:asciiTheme="minorHAnsi" w:hAnsiTheme="minorHAnsi" w:cstheme="minorHAnsi"/>
        </w:rPr>
      </w:pPr>
    </w:p>
    <w:tbl>
      <w:tblPr>
        <w:tblStyle w:val="TableGrid"/>
        <w:tblW w:w="0" w:type="auto"/>
        <w:tblLook w:val="01E0" w:firstRow="1" w:lastRow="1" w:firstColumn="1" w:lastColumn="1" w:noHBand="0" w:noVBand="0"/>
      </w:tblPr>
      <w:tblGrid>
        <w:gridCol w:w="5080"/>
        <w:gridCol w:w="2428"/>
      </w:tblGrid>
      <w:tr w:rsidR="00A917F1"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A917F1" w:rsidRPr="009233BB" w:rsidRDefault="00A917F1" w:rsidP="00A564CB">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 xml:space="preserve">Group </w:t>
            </w:r>
            <w:r w:rsidR="00142D56">
              <w:rPr>
                <w:rFonts w:asciiTheme="minorHAnsi" w:hAnsiTheme="minorHAnsi" w:cstheme="minorHAnsi"/>
                <w:b/>
                <w:sz w:val="24"/>
                <w:szCs w:val="24"/>
                <w:lang w:val="en-GB"/>
              </w:rPr>
              <w:t>1</w:t>
            </w:r>
            <w:r w:rsidR="00E748DE">
              <w:rPr>
                <w:rFonts w:asciiTheme="minorHAnsi" w:hAnsiTheme="minorHAnsi" w:cstheme="minorHAnsi"/>
                <w:b/>
                <w:sz w:val="24"/>
                <w:szCs w:val="24"/>
                <w:lang w:val="en-GB"/>
              </w:rPr>
              <w:t xml:space="preserve"> pensions</w:t>
            </w:r>
            <w:r>
              <w:rPr>
                <w:rFonts w:asciiTheme="minorHAnsi" w:hAnsiTheme="minorHAnsi" w:cstheme="minorHAnsi"/>
                <w:b/>
                <w:sz w:val="24"/>
                <w:szCs w:val="24"/>
                <w:lang w:val="en-GB"/>
              </w:rPr>
              <w:t xml:space="preserve"> </w:t>
            </w:r>
            <w:r w:rsidR="00C311E5">
              <w:rPr>
                <w:rFonts w:asciiTheme="minorHAnsi" w:hAnsiTheme="minorHAnsi" w:cstheme="minorHAnsi"/>
                <w:b/>
                <w:sz w:val="24"/>
                <w:szCs w:val="24"/>
                <w:lang w:val="en-GB"/>
              </w:rPr>
              <w:t xml:space="preserve">– </w:t>
            </w:r>
            <w:r w:rsidRPr="009233BB">
              <w:rPr>
                <w:rFonts w:asciiTheme="minorHAnsi" w:hAnsiTheme="minorHAnsi" w:cstheme="minorHAnsi"/>
                <w:b/>
                <w:sz w:val="24"/>
                <w:szCs w:val="24"/>
                <w:lang w:val="en-GB"/>
              </w:rPr>
              <w:t xml:space="preserve">PSPR </w:t>
            </w:r>
            <w:r w:rsidR="003B14E0">
              <w:rPr>
                <w:rFonts w:asciiTheme="minorHAnsi" w:hAnsiTheme="minorHAnsi" w:cstheme="minorHAnsi"/>
                <w:b/>
                <w:sz w:val="24"/>
                <w:szCs w:val="24"/>
                <w:lang w:val="en-GB"/>
              </w:rPr>
              <w:t xml:space="preserve">to </w:t>
            </w:r>
            <w:r w:rsidR="00A564CB">
              <w:rPr>
                <w:rFonts w:asciiTheme="minorHAnsi" w:hAnsiTheme="minorHAnsi" w:cstheme="minorHAnsi"/>
                <w:b/>
                <w:sz w:val="24"/>
                <w:szCs w:val="24"/>
                <w:lang w:val="en-GB"/>
              </w:rPr>
              <w:t xml:space="preserve">31 December </w:t>
            </w:r>
            <w:r>
              <w:rPr>
                <w:rFonts w:asciiTheme="minorHAnsi" w:hAnsiTheme="minorHAnsi" w:cstheme="minorHAnsi"/>
                <w:b/>
                <w:sz w:val="24"/>
                <w:szCs w:val="24"/>
                <w:lang w:val="en-GB"/>
              </w:rPr>
              <w:t>2015</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€12,000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€12,000 but not over €24,000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6</w:t>
            </w:r>
            <w:r w:rsidR="007B302C">
              <w:rPr>
                <w:rFonts w:asciiTheme="minorHAnsi" w:hAnsiTheme="minorHAnsi" w:cstheme="minorHAnsi"/>
                <w:sz w:val="24"/>
                <w:szCs w:val="24"/>
                <w:lang w:val="en-GB"/>
              </w:rPr>
              <w:t>%</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0A49A1" w:rsidP="000A49A1">
            <w:pPr>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Any amount over €24,000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9</w:t>
            </w:r>
            <w:r w:rsidR="007B302C">
              <w:rPr>
                <w:rFonts w:asciiTheme="minorHAnsi" w:hAnsiTheme="minorHAnsi" w:cstheme="minorHAnsi"/>
                <w:sz w:val="24"/>
                <w:szCs w:val="24"/>
                <w:lang w:val="en-GB"/>
              </w:rPr>
              <w:t>%</w:t>
            </w:r>
          </w:p>
        </w:tc>
      </w:tr>
    </w:tbl>
    <w:p w:rsidR="00A917F1" w:rsidRDefault="00A917F1" w:rsidP="00872845">
      <w:pPr>
        <w:contextualSpacing/>
        <w:jc w:val="both"/>
        <w:rPr>
          <w:rFonts w:asciiTheme="minorHAnsi" w:hAnsiTheme="minorHAnsi" w:cstheme="minorHAnsi"/>
        </w:rPr>
      </w:pPr>
    </w:p>
    <w:p w:rsidR="00936553" w:rsidRPr="008469B6" w:rsidRDefault="00872845" w:rsidP="00872845">
      <w:pPr>
        <w:contextualSpacing/>
        <w:jc w:val="both"/>
        <w:rPr>
          <w:rFonts w:asciiTheme="minorHAnsi" w:hAnsiTheme="minorHAnsi" w:cstheme="minorHAnsi"/>
          <w:b/>
          <w:u w:val="single"/>
        </w:rPr>
      </w:pPr>
      <w:r w:rsidRPr="008469B6">
        <w:rPr>
          <w:rFonts w:asciiTheme="minorHAnsi" w:hAnsiTheme="minorHAnsi" w:cstheme="minorHAnsi"/>
          <w:b/>
          <w:u w:val="single"/>
        </w:rPr>
        <w:t xml:space="preserve">Group </w:t>
      </w:r>
      <w:r w:rsidR="00142D56" w:rsidRPr="008469B6">
        <w:rPr>
          <w:rFonts w:asciiTheme="minorHAnsi" w:hAnsiTheme="minorHAnsi" w:cstheme="minorHAnsi"/>
          <w:b/>
          <w:u w:val="single"/>
        </w:rPr>
        <w:t>2</w:t>
      </w:r>
      <w:r w:rsidR="00A917F1" w:rsidRPr="008469B6">
        <w:rPr>
          <w:rFonts w:asciiTheme="minorHAnsi" w:hAnsiTheme="minorHAnsi" w:cstheme="minorHAnsi"/>
          <w:b/>
          <w:u w:val="single"/>
        </w:rPr>
        <w:t>:</w:t>
      </w:r>
      <w:r w:rsidR="00936553" w:rsidRPr="008469B6">
        <w:rPr>
          <w:rFonts w:asciiTheme="minorHAnsi" w:hAnsiTheme="minorHAnsi" w:cstheme="minorHAnsi"/>
          <w:b/>
          <w:u w:val="single"/>
        </w:rPr>
        <w:t xml:space="preserve"> </w:t>
      </w:r>
      <w:r w:rsidR="00A917F1" w:rsidRPr="008469B6">
        <w:rPr>
          <w:rFonts w:asciiTheme="minorHAnsi" w:hAnsiTheme="minorHAnsi" w:cstheme="minorHAnsi"/>
          <w:b/>
          <w:u w:val="single"/>
        </w:rPr>
        <w:t>P</w:t>
      </w:r>
      <w:r w:rsidRPr="008469B6">
        <w:rPr>
          <w:rFonts w:asciiTheme="minorHAnsi" w:hAnsiTheme="minorHAnsi" w:cstheme="minorHAnsi"/>
          <w:b/>
          <w:u w:val="single"/>
        </w:rPr>
        <w:t>re</w:t>
      </w:r>
      <w:r w:rsidR="00936553" w:rsidRPr="008469B6">
        <w:rPr>
          <w:rFonts w:asciiTheme="minorHAnsi" w:hAnsiTheme="minorHAnsi" w:cstheme="minorHAnsi"/>
          <w:b/>
          <w:u w:val="single"/>
        </w:rPr>
        <w:t>-</w:t>
      </w:r>
      <w:r w:rsidRPr="008469B6">
        <w:rPr>
          <w:rFonts w:asciiTheme="minorHAnsi" w:hAnsiTheme="minorHAnsi" w:cstheme="minorHAnsi"/>
          <w:b/>
          <w:u w:val="single"/>
        </w:rPr>
        <w:t xml:space="preserve">March 2012 </w:t>
      </w:r>
      <w:r w:rsidR="00936553" w:rsidRPr="008469B6">
        <w:rPr>
          <w:rFonts w:asciiTheme="minorHAnsi" w:hAnsiTheme="minorHAnsi" w:cstheme="minorHAnsi"/>
          <w:b/>
          <w:u w:val="single"/>
        </w:rPr>
        <w:t xml:space="preserve">pensions greater than </w:t>
      </w:r>
      <w:r w:rsidRPr="008469B6">
        <w:rPr>
          <w:rFonts w:asciiTheme="minorHAnsi" w:hAnsiTheme="minorHAnsi" w:cstheme="minorHAnsi"/>
          <w:b/>
          <w:u w:val="single"/>
        </w:rPr>
        <w:t>€34,132</w:t>
      </w:r>
      <w:r w:rsidR="00FB573B" w:rsidRPr="008469B6">
        <w:rPr>
          <w:rFonts w:asciiTheme="minorHAnsi" w:hAnsiTheme="minorHAnsi" w:cstheme="minorHAnsi"/>
          <w:b/>
          <w:u w:val="single"/>
        </w:rPr>
        <w:t xml:space="preserve"> (before PSPR)</w:t>
      </w:r>
      <w:r w:rsidR="00936553" w:rsidRPr="008469B6">
        <w:rPr>
          <w:rFonts w:asciiTheme="minorHAnsi" w:hAnsiTheme="minorHAnsi" w:cstheme="minorHAnsi"/>
          <w:b/>
          <w:u w:val="single"/>
        </w:rPr>
        <w:t xml:space="preserve"> </w:t>
      </w:r>
    </w:p>
    <w:p w:rsidR="003B14E0" w:rsidRDefault="00050716" w:rsidP="00872845">
      <w:pPr>
        <w:contextualSpacing/>
        <w:jc w:val="both"/>
        <w:rPr>
          <w:rFonts w:asciiTheme="minorHAnsi" w:hAnsiTheme="minorHAnsi" w:cstheme="minorHAnsi"/>
        </w:rPr>
      </w:pPr>
      <w:r>
        <w:rPr>
          <w:rFonts w:asciiTheme="minorHAnsi" w:hAnsiTheme="minorHAnsi" w:cstheme="minorHAnsi"/>
        </w:rPr>
        <w:t xml:space="preserve">Under FEMPI 2013, </w:t>
      </w:r>
      <w:r w:rsidR="00287881">
        <w:rPr>
          <w:rFonts w:asciiTheme="minorHAnsi" w:hAnsiTheme="minorHAnsi" w:cstheme="minorHAnsi"/>
        </w:rPr>
        <w:t xml:space="preserve">the </w:t>
      </w:r>
      <w:r w:rsidR="00872845">
        <w:rPr>
          <w:rFonts w:asciiTheme="minorHAnsi" w:hAnsiTheme="minorHAnsi" w:cstheme="minorHAnsi"/>
        </w:rPr>
        <w:t xml:space="preserve">PSPR </w:t>
      </w:r>
      <w:r w:rsidR="00287881">
        <w:rPr>
          <w:rFonts w:asciiTheme="minorHAnsi" w:hAnsiTheme="minorHAnsi" w:cstheme="minorHAnsi"/>
        </w:rPr>
        <w:t xml:space="preserve">imposition on </w:t>
      </w:r>
      <w:r w:rsidR="003B14E0">
        <w:rPr>
          <w:rFonts w:asciiTheme="minorHAnsi" w:hAnsiTheme="minorHAnsi" w:cstheme="minorHAnsi"/>
        </w:rPr>
        <w:t>these pensions</w:t>
      </w:r>
      <w:r w:rsidR="00287881">
        <w:rPr>
          <w:rFonts w:asciiTheme="minorHAnsi" w:hAnsiTheme="minorHAnsi" w:cstheme="minorHAnsi"/>
        </w:rPr>
        <w:t xml:space="preserve"> increased</w:t>
      </w:r>
      <w:r w:rsidR="00936553">
        <w:rPr>
          <w:rFonts w:asciiTheme="minorHAnsi" w:hAnsiTheme="minorHAnsi" w:cstheme="minorHAnsi"/>
        </w:rPr>
        <w:t xml:space="preserve">, </w:t>
      </w:r>
      <w:r>
        <w:rPr>
          <w:rFonts w:asciiTheme="minorHAnsi" w:hAnsiTheme="minorHAnsi" w:cstheme="minorHAnsi"/>
        </w:rPr>
        <w:t xml:space="preserve">effective 1 July 2013, </w:t>
      </w:r>
      <w:r w:rsidR="00936553">
        <w:rPr>
          <w:rFonts w:asciiTheme="minorHAnsi" w:hAnsiTheme="minorHAnsi" w:cstheme="minorHAnsi"/>
        </w:rPr>
        <w:t>b</w:t>
      </w:r>
      <w:r w:rsidR="003B14E0">
        <w:rPr>
          <w:rFonts w:asciiTheme="minorHAnsi" w:hAnsiTheme="minorHAnsi" w:cstheme="minorHAnsi"/>
        </w:rPr>
        <w:t xml:space="preserve">y way of </w:t>
      </w:r>
      <w:r w:rsidR="00287881">
        <w:rPr>
          <w:rFonts w:asciiTheme="minorHAnsi" w:hAnsiTheme="minorHAnsi" w:cstheme="minorHAnsi"/>
        </w:rPr>
        <w:t xml:space="preserve">higher reduction percentages than applied </w:t>
      </w:r>
      <w:r w:rsidR="004710AE">
        <w:rPr>
          <w:rFonts w:asciiTheme="minorHAnsi" w:hAnsiTheme="minorHAnsi" w:cstheme="minorHAnsi"/>
        </w:rPr>
        <w:t>in</w:t>
      </w:r>
      <w:r w:rsidR="003B14E0">
        <w:rPr>
          <w:rFonts w:asciiTheme="minorHAnsi" w:hAnsiTheme="minorHAnsi" w:cstheme="minorHAnsi"/>
        </w:rPr>
        <w:t xml:space="preserve"> the </w:t>
      </w:r>
      <w:r w:rsidR="00C66E0C">
        <w:rPr>
          <w:rFonts w:asciiTheme="minorHAnsi" w:hAnsiTheme="minorHAnsi" w:cstheme="minorHAnsi"/>
        </w:rPr>
        <w:t>prior</w:t>
      </w:r>
      <w:r w:rsidR="00287881">
        <w:rPr>
          <w:rFonts w:asciiTheme="minorHAnsi" w:hAnsiTheme="minorHAnsi" w:cstheme="minorHAnsi"/>
        </w:rPr>
        <w:t xml:space="preserve"> PSPR table</w:t>
      </w:r>
      <w:r w:rsidR="00B7495D">
        <w:rPr>
          <w:rFonts w:asciiTheme="minorHAnsi" w:hAnsiTheme="minorHAnsi" w:cstheme="minorHAnsi"/>
        </w:rPr>
        <w:t>, as follows:</w:t>
      </w:r>
    </w:p>
    <w:p w:rsidR="00A917F1" w:rsidRDefault="00A917F1" w:rsidP="00A917F1">
      <w:pPr>
        <w:contextualSpacing/>
        <w:jc w:val="both"/>
        <w:rPr>
          <w:rFonts w:asciiTheme="minorHAnsi" w:hAnsiTheme="minorHAnsi" w:cstheme="minorHAnsi"/>
        </w:rPr>
      </w:pPr>
    </w:p>
    <w:tbl>
      <w:tblPr>
        <w:tblStyle w:val="TableGrid"/>
        <w:tblW w:w="0" w:type="auto"/>
        <w:tblLook w:val="01E0" w:firstRow="1" w:lastRow="1" w:firstColumn="1" w:lastColumn="1" w:noHBand="0" w:noVBand="0"/>
      </w:tblPr>
      <w:tblGrid>
        <w:gridCol w:w="5080"/>
        <w:gridCol w:w="2428"/>
      </w:tblGrid>
      <w:tr w:rsidR="00A917F1"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A917F1" w:rsidRPr="009233BB" w:rsidRDefault="003B14E0" w:rsidP="00260650">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 xml:space="preserve">Group </w:t>
            </w:r>
            <w:r w:rsidR="00142D56">
              <w:rPr>
                <w:rFonts w:asciiTheme="minorHAnsi" w:hAnsiTheme="minorHAnsi" w:cstheme="minorHAnsi"/>
                <w:b/>
                <w:sz w:val="24"/>
                <w:szCs w:val="24"/>
                <w:lang w:val="en-GB"/>
              </w:rPr>
              <w:t>2</w:t>
            </w:r>
            <w:r w:rsidR="00C311E5">
              <w:rPr>
                <w:rFonts w:asciiTheme="minorHAnsi" w:hAnsiTheme="minorHAnsi" w:cstheme="minorHAnsi"/>
                <w:b/>
                <w:sz w:val="24"/>
                <w:szCs w:val="24"/>
                <w:lang w:val="en-GB"/>
              </w:rPr>
              <w:t xml:space="preserve"> </w:t>
            </w:r>
            <w:r w:rsidR="00E748DE">
              <w:rPr>
                <w:rFonts w:asciiTheme="minorHAnsi" w:hAnsiTheme="minorHAnsi" w:cstheme="minorHAnsi"/>
                <w:b/>
                <w:sz w:val="24"/>
                <w:szCs w:val="24"/>
                <w:lang w:val="en-GB"/>
              </w:rPr>
              <w:t xml:space="preserve">pensions </w:t>
            </w:r>
            <w:r w:rsidR="00C311E5">
              <w:rPr>
                <w:rFonts w:asciiTheme="minorHAnsi" w:hAnsiTheme="minorHAnsi" w:cstheme="minorHAnsi"/>
                <w:b/>
                <w:sz w:val="24"/>
                <w:szCs w:val="24"/>
                <w:lang w:val="en-GB"/>
              </w:rPr>
              <w:t>–</w:t>
            </w:r>
            <w:r>
              <w:rPr>
                <w:rFonts w:asciiTheme="minorHAnsi" w:hAnsiTheme="minorHAnsi" w:cstheme="minorHAnsi"/>
                <w:b/>
                <w:sz w:val="24"/>
                <w:szCs w:val="24"/>
                <w:lang w:val="en-GB"/>
              </w:rPr>
              <w:t xml:space="preserve"> </w:t>
            </w:r>
            <w:r w:rsidR="00C311E5">
              <w:rPr>
                <w:rFonts w:asciiTheme="minorHAnsi" w:hAnsiTheme="minorHAnsi" w:cstheme="minorHAnsi"/>
                <w:b/>
                <w:sz w:val="24"/>
                <w:szCs w:val="24"/>
                <w:lang w:val="en-GB"/>
              </w:rPr>
              <w:t xml:space="preserve">PSPR </w:t>
            </w:r>
            <w:r>
              <w:rPr>
                <w:rFonts w:asciiTheme="minorHAnsi" w:hAnsiTheme="minorHAnsi" w:cstheme="minorHAnsi"/>
                <w:b/>
                <w:sz w:val="24"/>
                <w:szCs w:val="24"/>
                <w:lang w:val="en-GB"/>
              </w:rPr>
              <w:t xml:space="preserve">from 1 July 2013 to </w:t>
            </w:r>
            <w:r w:rsidR="00152720">
              <w:rPr>
                <w:rFonts w:asciiTheme="minorHAnsi" w:hAnsiTheme="minorHAnsi" w:cstheme="minorHAnsi"/>
                <w:b/>
                <w:sz w:val="24"/>
                <w:szCs w:val="24"/>
                <w:lang w:val="en-GB"/>
              </w:rPr>
              <w:t>31 December 2</w:t>
            </w:r>
            <w:r>
              <w:rPr>
                <w:rFonts w:asciiTheme="minorHAnsi" w:hAnsiTheme="minorHAnsi" w:cstheme="minorHAnsi"/>
                <w:b/>
                <w:sz w:val="24"/>
                <w:szCs w:val="24"/>
                <w:lang w:val="en-GB"/>
              </w:rPr>
              <w:t>015</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€12,000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€12,000 but not over €24,000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3B14E0" w:rsidP="00152720">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8</w:t>
            </w:r>
            <w:r w:rsidR="007B302C">
              <w:rPr>
                <w:rFonts w:asciiTheme="minorHAnsi" w:hAnsiTheme="minorHAnsi" w:cstheme="minorHAnsi"/>
                <w:sz w:val="24"/>
                <w:szCs w:val="24"/>
                <w:lang w:val="en-GB"/>
              </w:rPr>
              <w:t>%</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€24,000 but not over €60,000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3B14E0" w:rsidP="00152720">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12</w:t>
            </w:r>
            <w:r w:rsidR="007B302C">
              <w:rPr>
                <w:rFonts w:asciiTheme="minorHAnsi" w:hAnsiTheme="minorHAnsi" w:cstheme="minorHAnsi"/>
                <w:sz w:val="24"/>
                <w:szCs w:val="24"/>
                <w:lang w:val="en-GB"/>
              </w:rPr>
              <w:t>%</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1</w:t>
            </w:r>
            <w:r w:rsidR="003B14E0">
              <w:rPr>
                <w:rFonts w:asciiTheme="minorHAnsi" w:hAnsiTheme="minorHAnsi" w:cstheme="minorHAnsi"/>
                <w:sz w:val="24"/>
                <w:szCs w:val="24"/>
                <w:lang w:val="en-GB"/>
              </w:rPr>
              <w:t>7</w:t>
            </w:r>
            <w:r w:rsidR="007B302C">
              <w:rPr>
                <w:rFonts w:asciiTheme="minorHAnsi" w:hAnsiTheme="minorHAnsi" w:cstheme="minorHAnsi"/>
                <w:sz w:val="24"/>
                <w:szCs w:val="24"/>
                <w:lang w:val="en-GB"/>
              </w:rPr>
              <w:t>%</w:t>
            </w:r>
          </w:p>
        </w:tc>
      </w:tr>
      <w:tr w:rsidR="00A917F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A917F1" w:rsidRPr="009233BB" w:rsidRDefault="00A917F1"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2</w:t>
            </w:r>
            <w:r w:rsidR="003B14E0">
              <w:rPr>
                <w:rFonts w:asciiTheme="minorHAnsi" w:hAnsiTheme="minorHAnsi" w:cstheme="minorHAnsi"/>
                <w:sz w:val="24"/>
                <w:szCs w:val="24"/>
                <w:lang w:val="en-GB"/>
              </w:rPr>
              <w:t>8</w:t>
            </w:r>
            <w:r w:rsidR="007B302C">
              <w:rPr>
                <w:rFonts w:asciiTheme="minorHAnsi" w:hAnsiTheme="minorHAnsi" w:cstheme="minorHAnsi"/>
                <w:sz w:val="24"/>
                <w:szCs w:val="24"/>
                <w:lang w:val="en-GB"/>
              </w:rPr>
              <w:t>%</w:t>
            </w:r>
          </w:p>
        </w:tc>
      </w:tr>
    </w:tbl>
    <w:p w:rsidR="00014FA7" w:rsidRDefault="00014FA7" w:rsidP="00A917F1">
      <w:pPr>
        <w:contextualSpacing/>
        <w:jc w:val="both"/>
        <w:rPr>
          <w:rFonts w:asciiTheme="minorHAnsi" w:hAnsiTheme="minorHAnsi" w:cstheme="minorHAnsi"/>
          <w:b/>
          <w:u w:val="single"/>
        </w:rPr>
      </w:pPr>
    </w:p>
    <w:p w:rsidR="00A917F1" w:rsidRPr="008469B6" w:rsidRDefault="00A917F1" w:rsidP="00A917F1">
      <w:pPr>
        <w:contextualSpacing/>
        <w:jc w:val="both"/>
        <w:rPr>
          <w:rFonts w:asciiTheme="minorHAnsi" w:hAnsiTheme="minorHAnsi" w:cstheme="minorHAnsi"/>
          <w:b/>
          <w:u w:val="single"/>
        </w:rPr>
      </w:pPr>
      <w:r w:rsidRPr="008469B6">
        <w:rPr>
          <w:rFonts w:asciiTheme="minorHAnsi" w:hAnsiTheme="minorHAnsi" w:cstheme="minorHAnsi"/>
          <w:b/>
          <w:u w:val="single"/>
        </w:rPr>
        <w:t xml:space="preserve">Group </w:t>
      </w:r>
      <w:r w:rsidR="00142D56" w:rsidRPr="008469B6">
        <w:rPr>
          <w:rFonts w:asciiTheme="minorHAnsi" w:hAnsiTheme="minorHAnsi" w:cstheme="minorHAnsi"/>
          <w:b/>
          <w:u w:val="single"/>
        </w:rPr>
        <w:t>3</w:t>
      </w:r>
      <w:r w:rsidRPr="008469B6">
        <w:rPr>
          <w:rFonts w:asciiTheme="minorHAnsi" w:hAnsiTheme="minorHAnsi" w:cstheme="minorHAnsi"/>
          <w:b/>
          <w:u w:val="single"/>
        </w:rPr>
        <w:t xml:space="preserve">: </w:t>
      </w:r>
      <w:r w:rsidR="008D5F1F" w:rsidRPr="008469B6">
        <w:rPr>
          <w:rFonts w:asciiTheme="minorHAnsi" w:hAnsiTheme="minorHAnsi" w:cstheme="minorHAnsi"/>
          <w:b/>
          <w:u w:val="single"/>
        </w:rPr>
        <w:t xml:space="preserve">Post-February </w:t>
      </w:r>
      <w:r w:rsidRPr="008469B6">
        <w:rPr>
          <w:rFonts w:asciiTheme="minorHAnsi" w:hAnsiTheme="minorHAnsi" w:cstheme="minorHAnsi"/>
          <w:b/>
          <w:u w:val="single"/>
        </w:rPr>
        <w:t>2012 pensions greater than €3</w:t>
      </w:r>
      <w:r w:rsidR="008D5F1F" w:rsidRPr="008469B6">
        <w:rPr>
          <w:rFonts w:asciiTheme="minorHAnsi" w:hAnsiTheme="minorHAnsi" w:cstheme="minorHAnsi"/>
          <w:b/>
          <w:u w:val="single"/>
        </w:rPr>
        <w:t>2</w:t>
      </w:r>
      <w:r w:rsidRPr="008469B6">
        <w:rPr>
          <w:rFonts w:asciiTheme="minorHAnsi" w:hAnsiTheme="minorHAnsi" w:cstheme="minorHAnsi"/>
          <w:b/>
          <w:u w:val="single"/>
        </w:rPr>
        <w:t>,</w:t>
      </w:r>
      <w:r w:rsidR="008D5F1F" w:rsidRPr="008469B6">
        <w:rPr>
          <w:rFonts w:asciiTheme="minorHAnsi" w:hAnsiTheme="minorHAnsi" w:cstheme="minorHAnsi"/>
          <w:b/>
          <w:u w:val="single"/>
        </w:rPr>
        <w:t>500</w:t>
      </w:r>
      <w:r w:rsidR="00FB573B" w:rsidRPr="008469B6">
        <w:rPr>
          <w:rFonts w:asciiTheme="minorHAnsi" w:hAnsiTheme="minorHAnsi" w:cstheme="minorHAnsi"/>
          <w:b/>
          <w:u w:val="single"/>
        </w:rPr>
        <w:t xml:space="preserve"> (before PSPR)</w:t>
      </w:r>
      <w:r w:rsidRPr="008469B6">
        <w:rPr>
          <w:rFonts w:asciiTheme="minorHAnsi" w:hAnsiTheme="minorHAnsi" w:cstheme="minorHAnsi"/>
          <w:b/>
          <w:u w:val="single"/>
        </w:rPr>
        <w:t xml:space="preserve"> </w:t>
      </w:r>
    </w:p>
    <w:p w:rsidR="00A917F1" w:rsidRDefault="00A917F1" w:rsidP="00A917F1">
      <w:pPr>
        <w:contextualSpacing/>
        <w:jc w:val="both"/>
        <w:rPr>
          <w:rFonts w:asciiTheme="minorHAnsi" w:hAnsiTheme="minorHAnsi" w:cstheme="minorHAnsi"/>
        </w:rPr>
      </w:pPr>
      <w:r w:rsidRPr="00455349">
        <w:rPr>
          <w:rFonts w:asciiTheme="minorHAnsi" w:hAnsiTheme="minorHAnsi" w:cstheme="minorHAnsi"/>
        </w:rPr>
        <w:t>Under FEMPI 2013</w:t>
      </w:r>
      <w:r w:rsidR="00BD7473" w:rsidRPr="00455349">
        <w:rPr>
          <w:rFonts w:asciiTheme="minorHAnsi" w:hAnsiTheme="minorHAnsi" w:cstheme="minorHAnsi"/>
        </w:rPr>
        <w:t>,</w:t>
      </w:r>
      <w:r w:rsidR="004710AE" w:rsidRPr="00455349">
        <w:rPr>
          <w:rFonts w:asciiTheme="minorHAnsi" w:hAnsiTheme="minorHAnsi" w:cstheme="minorHAnsi"/>
        </w:rPr>
        <w:t xml:space="preserve"> </w:t>
      </w:r>
      <w:r w:rsidR="00050716" w:rsidRPr="00455349">
        <w:rPr>
          <w:rFonts w:asciiTheme="minorHAnsi" w:hAnsiTheme="minorHAnsi" w:cstheme="minorHAnsi"/>
        </w:rPr>
        <w:t xml:space="preserve">and </w:t>
      </w:r>
      <w:r w:rsidR="00A430FE">
        <w:rPr>
          <w:rFonts w:asciiTheme="minorHAnsi" w:hAnsiTheme="minorHAnsi" w:cstheme="minorHAnsi"/>
        </w:rPr>
        <w:t>effective</w:t>
      </w:r>
      <w:r w:rsidR="00050716" w:rsidRPr="00455349">
        <w:rPr>
          <w:rFonts w:asciiTheme="minorHAnsi" w:hAnsiTheme="minorHAnsi" w:cstheme="minorHAnsi"/>
        </w:rPr>
        <w:t xml:space="preserve"> 1 July 2013, </w:t>
      </w:r>
      <w:r w:rsidRPr="00455349">
        <w:rPr>
          <w:rFonts w:asciiTheme="minorHAnsi" w:hAnsiTheme="minorHAnsi" w:cstheme="minorHAnsi"/>
        </w:rPr>
        <w:t>PSPR was</w:t>
      </w:r>
      <w:r w:rsidR="00287881" w:rsidRPr="00455349">
        <w:rPr>
          <w:rFonts w:asciiTheme="minorHAnsi" w:hAnsiTheme="minorHAnsi" w:cstheme="minorHAnsi"/>
        </w:rPr>
        <w:t>, for the first time,</w:t>
      </w:r>
      <w:r w:rsidRPr="00455349">
        <w:rPr>
          <w:rFonts w:asciiTheme="minorHAnsi" w:hAnsiTheme="minorHAnsi" w:cstheme="minorHAnsi"/>
        </w:rPr>
        <w:t xml:space="preserve"> </w:t>
      </w:r>
      <w:r w:rsidR="003B14E0" w:rsidRPr="00455349">
        <w:rPr>
          <w:rFonts w:asciiTheme="minorHAnsi" w:hAnsiTheme="minorHAnsi" w:cstheme="minorHAnsi"/>
        </w:rPr>
        <w:t>applied to pensions</w:t>
      </w:r>
      <w:r w:rsidR="003B14E0">
        <w:rPr>
          <w:rFonts w:asciiTheme="minorHAnsi" w:hAnsiTheme="minorHAnsi" w:cstheme="minorHAnsi"/>
        </w:rPr>
        <w:t xml:space="preserve"> </w:t>
      </w:r>
      <w:r w:rsidR="008D5F1F" w:rsidRPr="008D5F1F">
        <w:rPr>
          <w:rFonts w:asciiTheme="minorHAnsi" w:hAnsiTheme="minorHAnsi" w:cstheme="minorHAnsi"/>
        </w:rPr>
        <w:t xml:space="preserve">awarded </w:t>
      </w:r>
      <w:r w:rsidR="008D5F1F">
        <w:rPr>
          <w:rFonts w:asciiTheme="minorHAnsi" w:hAnsiTheme="minorHAnsi" w:cstheme="minorHAnsi"/>
        </w:rPr>
        <w:t>in</w:t>
      </w:r>
      <w:r w:rsidR="008D5F1F" w:rsidRPr="008D5F1F">
        <w:rPr>
          <w:rFonts w:asciiTheme="minorHAnsi" w:hAnsiTheme="minorHAnsi" w:cstheme="minorHAnsi"/>
        </w:rPr>
        <w:t xml:space="preserve"> respect of retirements after </w:t>
      </w:r>
      <w:r w:rsidR="00BD7473">
        <w:rPr>
          <w:rFonts w:asciiTheme="minorHAnsi" w:hAnsiTheme="minorHAnsi" w:cstheme="minorHAnsi"/>
        </w:rPr>
        <w:t xml:space="preserve">the </w:t>
      </w:r>
      <w:r w:rsidR="00BD7473" w:rsidRPr="008D5F1F">
        <w:rPr>
          <w:rFonts w:asciiTheme="minorHAnsi" w:hAnsiTheme="minorHAnsi" w:cstheme="minorHAnsi"/>
        </w:rPr>
        <w:t>2010</w:t>
      </w:r>
      <w:r w:rsidR="00BD7473">
        <w:rPr>
          <w:rFonts w:asciiTheme="minorHAnsi" w:hAnsiTheme="minorHAnsi" w:cstheme="minorHAnsi"/>
        </w:rPr>
        <w:t>–</w:t>
      </w:r>
      <w:r w:rsidR="00BD7473" w:rsidRPr="008D5F1F">
        <w:rPr>
          <w:rFonts w:asciiTheme="minorHAnsi" w:hAnsiTheme="minorHAnsi" w:cstheme="minorHAnsi"/>
        </w:rPr>
        <w:t>2012 grace period</w:t>
      </w:r>
      <w:r w:rsidR="00BD7473">
        <w:rPr>
          <w:rFonts w:asciiTheme="minorHAnsi" w:hAnsiTheme="minorHAnsi" w:cstheme="minorHAnsi"/>
        </w:rPr>
        <w:t xml:space="preserve"> </w:t>
      </w:r>
      <w:r w:rsidR="00050716">
        <w:rPr>
          <w:rFonts w:asciiTheme="minorHAnsi" w:hAnsiTheme="minorHAnsi" w:cstheme="minorHAnsi"/>
        </w:rPr>
        <w:t>(</w:t>
      </w:r>
      <w:r w:rsidR="00BD7473">
        <w:rPr>
          <w:rFonts w:asciiTheme="minorHAnsi" w:hAnsiTheme="minorHAnsi" w:cstheme="minorHAnsi"/>
        </w:rPr>
        <w:t>i.e. after end-February 2012</w:t>
      </w:r>
      <w:r w:rsidR="00050716">
        <w:rPr>
          <w:rFonts w:asciiTheme="minorHAnsi" w:hAnsiTheme="minorHAnsi" w:cstheme="minorHAnsi"/>
        </w:rPr>
        <w:t>)</w:t>
      </w:r>
      <w:r w:rsidR="00BD7473">
        <w:rPr>
          <w:rFonts w:asciiTheme="minorHAnsi" w:hAnsiTheme="minorHAnsi" w:cstheme="minorHAnsi"/>
        </w:rPr>
        <w:t xml:space="preserve">, </w:t>
      </w:r>
      <w:r w:rsidR="008D5F1F" w:rsidRPr="008D5F1F">
        <w:rPr>
          <w:rFonts w:asciiTheme="minorHAnsi" w:hAnsiTheme="minorHAnsi" w:cstheme="minorHAnsi"/>
          <w:b/>
        </w:rPr>
        <w:t>but only where the pre-PSPR value of the pensions exceeded €32,500.</w:t>
      </w:r>
      <w:r w:rsidR="008D5F1F">
        <w:rPr>
          <w:rFonts w:asciiTheme="minorHAnsi" w:hAnsiTheme="minorHAnsi" w:cstheme="minorHAnsi"/>
        </w:rPr>
        <w:t xml:space="preserve"> The </w:t>
      </w:r>
      <w:r w:rsidR="007D6550">
        <w:rPr>
          <w:rFonts w:asciiTheme="minorHAnsi" w:hAnsiTheme="minorHAnsi" w:cstheme="minorHAnsi"/>
        </w:rPr>
        <w:t>P</w:t>
      </w:r>
      <w:r w:rsidR="004710AE">
        <w:rPr>
          <w:rFonts w:asciiTheme="minorHAnsi" w:hAnsiTheme="minorHAnsi" w:cstheme="minorHAnsi"/>
        </w:rPr>
        <w:t xml:space="preserve">SPR table </w:t>
      </w:r>
      <w:r w:rsidR="00287881">
        <w:rPr>
          <w:rFonts w:asciiTheme="minorHAnsi" w:hAnsiTheme="minorHAnsi" w:cstheme="minorHAnsi"/>
        </w:rPr>
        <w:t>for</w:t>
      </w:r>
      <w:r w:rsidR="007D6550">
        <w:rPr>
          <w:rFonts w:asciiTheme="minorHAnsi" w:hAnsiTheme="minorHAnsi" w:cstheme="minorHAnsi"/>
        </w:rPr>
        <w:t xml:space="preserve"> th</w:t>
      </w:r>
      <w:r w:rsidR="00C66E0C">
        <w:rPr>
          <w:rFonts w:asciiTheme="minorHAnsi" w:hAnsiTheme="minorHAnsi" w:cstheme="minorHAnsi"/>
        </w:rPr>
        <w:t xml:space="preserve">ese Group 3 </w:t>
      </w:r>
      <w:r w:rsidR="007D6550">
        <w:rPr>
          <w:rFonts w:asciiTheme="minorHAnsi" w:hAnsiTheme="minorHAnsi" w:cstheme="minorHAnsi"/>
        </w:rPr>
        <w:t xml:space="preserve">pensions </w:t>
      </w:r>
      <w:r w:rsidR="00050716">
        <w:rPr>
          <w:rFonts w:asciiTheme="minorHAnsi" w:hAnsiTheme="minorHAnsi" w:cstheme="minorHAnsi"/>
        </w:rPr>
        <w:t>(</w:t>
      </w:r>
      <w:r w:rsidR="007D6550">
        <w:rPr>
          <w:rFonts w:asciiTheme="minorHAnsi" w:hAnsiTheme="minorHAnsi" w:cstheme="minorHAnsi"/>
        </w:rPr>
        <w:t>which do not benefit from being based on pre-2010 salaries</w:t>
      </w:r>
      <w:r w:rsidR="00050716">
        <w:rPr>
          <w:rFonts w:asciiTheme="minorHAnsi" w:hAnsiTheme="minorHAnsi" w:cstheme="minorHAnsi"/>
        </w:rPr>
        <w:t xml:space="preserve">, and so attract lower </w:t>
      </w:r>
      <w:r w:rsidR="00C66E0C">
        <w:rPr>
          <w:rFonts w:asciiTheme="minorHAnsi" w:hAnsiTheme="minorHAnsi" w:cstheme="minorHAnsi"/>
        </w:rPr>
        <w:t xml:space="preserve">PSPR </w:t>
      </w:r>
      <w:r w:rsidR="00050716">
        <w:rPr>
          <w:rFonts w:asciiTheme="minorHAnsi" w:hAnsiTheme="minorHAnsi" w:cstheme="minorHAnsi"/>
        </w:rPr>
        <w:t>reduction percentages than Groups 1 and 2)</w:t>
      </w:r>
      <w:r w:rsidR="007D6550">
        <w:rPr>
          <w:rFonts w:asciiTheme="minorHAnsi" w:hAnsiTheme="minorHAnsi" w:cstheme="minorHAnsi"/>
        </w:rPr>
        <w:t xml:space="preserve">, </w:t>
      </w:r>
      <w:r w:rsidR="008D5F1F">
        <w:rPr>
          <w:rFonts w:asciiTheme="minorHAnsi" w:hAnsiTheme="minorHAnsi" w:cstheme="minorHAnsi"/>
        </w:rPr>
        <w:t>is set out below</w:t>
      </w:r>
      <w:r w:rsidR="00050716">
        <w:rPr>
          <w:rFonts w:asciiTheme="minorHAnsi" w:hAnsiTheme="minorHAnsi" w:cstheme="minorHAnsi"/>
        </w:rPr>
        <w:t>:</w:t>
      </w:r>
    </w:p>
    <w:p w:rsidR="00455349" w:rsidRDefault="00455349" w:rsidP="00A917F1">
      <w:pPr>
        <w:contextualSpacing/>
        <w:jc w:val="both"/>
        <w:rPr>
          <w:rFonts w:asciiTheme="minorHAnsi" w:hAnsiTheme="minorHAnsi" w:cstheme="minorHAnsi"/>
        </w:rPr>
      </w:pPr>
    </w:p>
    <w:tbl>
      <w:tblPr>
        <w:tblStyle w:val="TableGrid"/>
        <w:tblW w:w="0" w:type="auto"/>
        <w:tblLook w:val="01E0" w:firstRow="1" w:lastRow="1" w:firstColumn="1" w:lastColumn="1" w:noHBand="0" w:noVBand="0"/>
      </w:tblPr>
      <w:tblGrid>
        <w:gridCol w:w="5080"/>
        <w:gridCol w:w="2428"/>
      </w:tblGrid>
      <w:tr w:rsidR="004710AE"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4710AE" w:rsidRPr="009233BB" w:rsidRDefault="004710AE" w:rsidP="00260650">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 xml:space="preserve">Group </w:t>
            </w:r>
            <w:r w:rsidR="00142D56">
              <w:rPr>
                <w:rFonts w:asciiTheme="minorHAnsi" w:hAnsiTheme="minorHAnsi" w:cstheme="minorHAnsi"/>
                <w:b/>
                <w:sz w:val="24"/>
                <w:szCs w:val="24"/>
                <w:lang w:val="en-GB"/>
              </w:rPr>
              <w:t>3</w:t>
            </w:r>
            <w:r>
              <w:rPr>
                <w:rFonts w:asciiTheme="minorHAnsi" w:hAnsiTheme="minorHAnsi" w:cstheme="minorHAnsi"/>
                <w:b/>
                <w:sz w:val="24"/>
                <w:szCs w:val="24"/>
                <w:lang w:val="en-GB"/>
              </w:rPr>
              <w:t xml:space="preserve"> </w:t>
            </w:r>
            <w:r w:rsidR="00E748DE">
              <w:rPr>
                <w:rFonts w:asciiTheme="minorHAnsi" w:hAnsiTheme="minorHAnsi" w:cstheme="minorHAnsi"/>
                <w:b/>
                <w:sz w:val="24"/>
                <w:szCs w:val="24"/>
                <w:lang w:val="en-GB"/>
              </w:rPr>
              <w:t xml:space="preserve">pensions </w:t>
            </w:r>
            <w:r w:rsidR="00C311E5">
              <w:rPr>
                <w:rFonts w:asciiTheme="minorHAnsi" w:hAnsiTheme="minorHAnsi" w:cstheme="minorHAnsi"/>
                <w:b/>
                <w:sz w:val="24"/>
                <w:szCs w:val="24"/>
                <w:lang w:val="en-GB"/>
              </w:rPr>
              <w:t xml:space="preserve">– </w:t>
            </w:r>
            <w:r w:rsidRPr="009233BB">
              <w:rPr>
                <w:rFonts w:asciiTheme="minorHAnsi" w:hAnsiTheme="minorHAnsi" w:cstheme="minorHAnsi"/>
                <w:b/>
                <w:sz w:val="24"/>
                <w:szCs w:val="24"/>
                <w:lang w:val="en-GB"/>
              </w:rPr>
              <w:t>PSPR</w:t>
            </w:r>
            <w:r>
              <w:rPr>
                <w:rFonts w:asciiTheme="minorHAnsi" w:hAnsiTheme="minorHAnsi" w:cstheme="minorHAnsi"/>
                <w:b/>
                <w:sz w:val="24"/>
                <w:szCs w:val="24"/>
                <w:lang w:val="en-GB"/>
              </w:rPr>
              <w:t xml:space="preserve"> from 1 July 2013 to </w:t>
            </w:r>
            <w:r w:rsidR="00152720">
              <w:rPr>
                <w:rFonts w:asciiTheme="minorHAnsi" w:hAnsiTheme="minorHAnsi" w:cstheme="minorHAnsi"/>
                <w:b/>
                <w:sz w:val="24"/>
                <w:szCs w:val="24"/>
                <w:lang w:val="en-GB"/>
              </w:rPr>
              <w:t xml:space="preserve">31 December </w:t>
            </w:r>
            <w:r>
              <w:rPr>
                <w:rFonts w:asciiTheme="minorHAnsi" w:hAnsiTheme="minorHAnsi" w:cstheme="minorHAnsi"/>
                <w:b/>
                <w:sz w:val="24"/>
                <w:szCs w:val="24"/>
                <w:lang w:val="en-GB"/>
              </w:rPr>
              <w:t>2015</w:t>
            </w:r>
          </w:p>
        </w:tc>
      </w:tr>
      <w:tr w:rsidR="004710AE"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4710AE"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€12,000</w:t>
            </w:r>
          </w:p>
        </w:tc>
        <w:tc>
          <w:tcPr>
            <w:tcW w:w="2428"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4710AE"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€12,000 but not over €24,000</w:t>
            </w:r>
          </w:p>
        </w:tc>
        <w:tc>
          <w:tcPr>
            <w:tcW w:w="2428" w:type="dxa"/>
            <w:tcBorders>
              <w:top w:val="single" w:sz="4" w:space="0" w:color="auto"/>
              <w:left w:val="single" w:sz="4" w:space="0" w:color="auto"/>
              <w:bottom w:val="single" w:sz="4" w:space="0" w:color="auto"/>
              <w:right w:val="single" w:sz="4" w:space="0" w:color="auto"/>
            </w:tcBorders>
            <w:hideMark/>
          </w:tcPr>
          <w:p w:rsidR="004710AE" w:rsidRPr="009233BB" w:rsidRDefault="00BD7473" w:rsidP="00152720">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2</w:t>
            </w:r>
            <w:r w:rsidR="007B302C">
              <w:rPr>
                <w:rFonts w:asciiTheme="minorHAnsi" w:hAnsiTheme="minorHAnsi" w:cstheme="minorHAnsi"/>
                <w:sz w:val="24"/>
                <w:szCs w:val="24"/>
                <w:lang w:val="en-GB"/>
              </w:rPr>
              <w:t>%</w:t>
            </w:r>
          </w:p>
        </w:tc>
      </w:tr>
      <w:tr w:rsidR="004710AE"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€24,000 but not over €60,000</w:t>
            </w:r>
          </w:p>
        </w:tc>
        <w:tc>
          <w:tcPr>
            <w:tcW w:w="2428" w:type="dxa"/>
            <w:tcBorders>
              <w:top w:val="single" w:sz="4" w:space="0" w:color="auto"/>
              <w:left w:val="single" w:sz="4" w:space="0" w:color="auto"/>
              <w:bottom w:val="single" w:sz="4" w:space="0" w:color="auto"/>
              <w:right w:val="single" w:sz="4" w:space="0" w:color="auto"/>
            </w:tcBorders>
            <w:hideMark/>
          </w:tcPr>
          <w:p w:rsidR="004710AE" w:rsidRPr="009233BB" w:rsidRDefault="00BD7473" w:rsidP="00152720">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3</w:t>
            </w:r>
            <w:r w:rsidR="007B302C">
              <w:rPr>
                <w:rFonts w:asciiTheme="minorHAnsi" w:hAnsiTheme="minorHAnsi" w:cstheme="minorHAnsi"/>
                <w:sz w:val="24"/>
                <w:szCs w:val="24"/>
                <w:lang w:val="en-GB"/>
              </w:rPr>
              <w:t>%</w:t>
            </w:r>
          </w:p>
        </w:tc>
      </w:tr>
      <w:tr w:rsidR="004710AE"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lastRenderedPageBreak/>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4710AE" w:rsidRPr="009233BB" w:rsidRDefault="00BD7473" w:rsidP="00152720">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5</w:t>
            </w:r>
            <w:r w:rsidR="007B302C">
              <w:rPr>
                <w:rFonts w:asciiTheme="minorHAnsi" w:hAnsiTheme="minorHAnsi" w:cstheme="minorHAnsi"/>
                <w:sz w:val="24"/>
                <w:szCs w:val="24"/>
                <w:lang w:val="en-GB"/>
              </w:rPr>
              <w:t>%</w:t>
            </w:r>
          </w:p>
        </w:tc>
      </w:tr>
      <w:tr w:rsidR="004710AE"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4710AE" w:rsidRPr="009233BB" w:rsidRDefault="004710AE" w:rsidP="00152720">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8</w:t>
            </w:r>
            <w:r w:rsidR="007B302C">
              <w:rPr>
                <w:rFonts w:asciiTheme="minorHAnsi" w:hAnsiTheme="minorHAnsi" w:cstheme="minorHAnsi"/>
                <w:sz w:val="24"/>
                <w:szCs w:val="24"/>
                <w:lang w:val="en-GB"/>
              </w:rPr>
              <w:t>%</w:t>
            </w:r>
          </w:p>
        </w:tc>
      </w:tr>
    </w:tbl>
    <w:p w:rsidR="00114613" w:rsidRPr="00AE6D23" w:rsidRDefault="005D30F8" w:rsidP="00114613">
      <w:pPr>
        <w:jc w:val="both"/>
        <w:rPr>
          <w:rFonts w:asciiTheme="minorHAnsi" w:hAnsiTheme="minorHAnsi" w:cstheme="minorHAnsi"/>
          <w:b/>
        </w:rPr>
      </w:pPr>
      <w:r>
        <w:rPr>
          <w:rFonts w:asciiTheme="minorHAnsi" w:hAnsiTheme="minorHAnsi" w:cstheme="minorHAnsi"/>
          <w:b/>
        </w:rPr>
        <w:t xml:space="preserve">FEMPI 2015 – </w:t>
      </w:r>
      <w:r w:rsidR="007D203D">
        <w:rPr>
          <w:rFonts w:asciiTheme="minorHAnsi" w:hAnsiTheme="minorHAnsi" w:cstheme="minorHAnsi"/>
          <w:b/>
        </w:rPr>
        <w:t xml:space="preserve">PSPR </w:t>
      </w:r>
      <w:r w:rsidR="00730B34">
        <w:rPr>
          <w:rFonts w:asciiTheme="minorHAnsi" w:hAnsiTheme="minorHAnsi" w:cstheme="minorHAnsi"/>
          <w:b/>
        </w:rPr>
        <w:t>c</w:t>
      </w:r>
      <w:r w:rsidR="007D203D">
        <w:rPr>
          <w:rFonts w:asciiTheme="minorHAnsi" w:hAnsiTheme="minorHAnsi" w:cstheme="minorHAnsi"/>
          <w:b/>
        </w:rPr>
        <w:t xml:space="preserve">hanges </w:t>
      </w:r>
      <w:r w:rsidR="00A837D0">
        <w:rPr>
          <w:rFonts w:asciiTheme="minorHAnsi" w:hAnsiTheme="minorHAnsi" w:cstheme="minorHAnsi"/>
          <w:b/>
        </w:rPr>
        <w:t xml:space="preserve">in three stages </w:t>
      </w:r>
      <w:r w:rsidR="00730B34">
        <w:rPr>
          <w:rFonts w:asciiTheme="minorHAnsi" w:hAnsiTheme="minorHAnsi" w:cstheme="minorHAnsi"/>
          <w:b/>
        </w:rPr>
        <w:t>commencing 1 January 2016</w:t>
      </w:r>
    </w:p>
    <w:p w:rsidR="00114613" w:rsidRDefault="00114613" w:rsidP="00114613">
      <w:pPr>
        <w:jc w:val="both"/>
        <w:rPr>
          <w:rFonts w:asciiTheme="minorHAnsi" w:hAnsiTheme="minorHAnsi" w:cstheme="minorHAnsi"/>
        </w:rPr>
      </w:pPr>
    </w:p>
    <w:p w:rsidR="007D203D" w:rsidRDefault="005A6983" w:rsidP="00114613">
      <w:pPr>
        <w:contextualSpacing/>
        <w:jc w:val="both"/>
        <w:rPr>
          <w:rFonts w:asciiTheme="minorHAnsi" w:hAnsiTheme="minorHAnsi" w:cstheme="minorHAnsi"/>
        </w:rPr>
      </w:pPr>
      <w:r>
        <w:rPr>
          <w:rFonts w:asciiTheme="minorHAnsi" w:hAnsiTheme="minorHAnsi" w:cstheme="minorHAnsi"/>
        </w:rPr>
        <w:t>6</w:t>
      </w:r>
      <w:r w:rsidR="00114613">
        <w:rPr>
          <w:rFonts w:asciiTheme="minorHAnsi" w:hAnsiTheme="minorHAnsi" w:cstheme="minorHAnsi"/>
        </w:rPr>
        <w:t xml:space="preserve">. The Financial Emergency Measures in the Public Interest Act 2015 </w:t>
      </w:r>
      <w:r w:rsidR="00A837D0">
        <w:rPr>
          <w:rFonts w:asciiTheme="minorHAnsi" w:hAnsiTheme="minorHAnsi" w:cstheme="minorHAnsi"/>
        </w:rPr>
        <w:t>(</w:t>
      </w:r>
      <w:r w:rsidR="007D6550">
        <w:rPr>
          <w:rFonts w:asciiTheme="minorHAnsi" w:hAnsiTheme="minorHAnsi" w:cstheme="minorHAnsi"/>
        </w:rPr>
        <w:t>“</w:t>
      </w:r>
      <w:r w:rsidR="00A837D0">
        <w:rPr>
          <w:rFonts w:asciiTheme="minorHAnsi" w:hAnsiTheme="minorHAnsi" w:cstheme="minorHAnsi"/>
        </w:rPr>
        <w:t>FEMPI 2015</w:t>
      </w:r>
      <w:r w:rsidR="007D6550">
        <w:rPr>
          <w:rFonts w:asciiTheme="minorHAnsi" w:hAnsiTheme="minorHAnsi" w:cstheme="minorHAnsi"/>
        </w:rPr>
        <w:t>”</w:t>
      </w:r>
      <w:r w:rsidR="00A837D0">
        <w:rPr>
          <w:rFonts w:asciiTheme="minorHAnsi" w:hAnsiTheme="minorHAnsi" w:cstheme="minorHAnsi"/>
        </w:rPr>
        <w:t xml:space="preserve">) </w:t>
      </w:r>
      <w:r w:rsidR="00114613">
        <w:rPr>
          <w:rFonts w:asciiTheme="minorHAnsi" w:hAnsiTheme="minorHAnsi" w:cstheme="minorHAnsi"/>
        </w:rPr>
        <w:t xml:space="preserve">became law </w:t>
      </w:r>
      <w:r w:rsidR="00A430FE">
        <w:rPr>
          <w:rFonts w:asciiTheme="minorHAnsi" w:hAnsiTheme="minorHAnsi" w:cstheme="minorHAnsi"/>
        </w:rPr>
        <w:t>on 27</w:t>
      </w:r>
      <w:r w:rsidR="00114613">
        <w:rPr>
          <w:rFonts w:asciiTheme="minorHAnsi" w:hAnsiTheme="minorHAnsi" w:cstheme="minorHAnsi"/>
        </w:rPr>
        <w:t xml:space="preserve"> </w:t>
      </w:r>
      <w:r w:rsidR="00A2034C">
        <w:rPr>
          <w:rFonts w:asciiTheme="minorHAnsi" w:hAnsiTheme="minorHAnsi" w:cstheme="minorHAnsi"/>
        </w:rPr>
        <w:t>November</w:t>
      </w:r>
      <w:r w:rsidR="00114613">
        <w:rPr>
          <w:rFonts w:asciiTheme="minorHAnsi" w:hAnsiTheme="minorHAnsi" w:cstheme="minorHAnsi"/>
        </w:rPr>
        <w:t xml:space="preserve"> 2015.</w:t>
      </w:r>
      <w:r w:rsidR="00A837D0">
        <w:rPr>
          <w:rFonts w:asciiTheme="minorHAnsi" w:hAnsiTheme="minorHAnsi" w:cstheme="minorHAnsi"/>
        </w:rPr>
        <w:t xml:space="preserve"> </w:t>
      </w:r>
      <w:r w:rsidR="00730B34">
        <w:rPr>
          <w:rFonts w:asciiTheme="minorHAnsi" w:hAnsiTheme="minorHAnsi" w:cstheme="minorHAnsi"/>
        </w:rPr>
        <w:t xml:space="preserve">Its principal </w:t>
      </w:r>
      <w:r w:rsidR="007D203D">
        <w:rPr>
          <w:rFonts w:asciiTheme="minorHAnsi" w:hAnsiTheme="minorHAnsi" w:cstheme="minorHAnsi"/>
        </w:rPr>
        <w:t>measures</w:t>
      </w:r>
      <w:r w:rsidR="00114613">
        <w:rPr>
          <w:rFonts w:asciiTheme="minorHAnsi" w:hAnsiTheme="minorHAnsi" w:cstheme="minorHAnsi"/>
        </w:rPr>
        <w:t xml:space="preserve"> are </w:t>
      </w:r>
      <w:r w:rsidR="007D203D">
        <w:rPr>
          <w:rFonts w:asciiTheme="minorHAnsi" w:hAnsiTheme="minorHAnsi" w:cstheme="minorHAnsi"/>
        </w:rPr>
        <w:t xml:space="preserve">a set of </w:t>
      </w:r>
      <w:r w:rsidR="00114613">
        <w:rPr>
          <w:rFonts w:asciiTheme="minorHAnsi" w:hAnsiTheme="minorHAnsi" w:cstheme="minorHAnsi"/>
        </w:rPr>
        <w:t>partial reversal</w:t>
      </w:r>
      <w:r w:rsidR="007D203D">
        <w:rPr>
          <w:rFonts w:asciiTheme="minorHAnsi" w:hAnsiTheme="minorHAnsi" w:cstheme="minorHAnsi"/>
        </w:rPr>
        <w:t>s</w:t>
      </w:r>
      <w:r w:rsidR="00114613">
        <w:rPr>
          <w:rFonts w:asciiTheme="minorHAnsi" w:hAnsiTheme="minorHAnsi" w:cstheme="minorHAnsi"/>
        </w:rPr>
        <w:t xml:space="preserve"> of the pay and pension </w:t>
      </w:r>
      <w:r w:rsidR="007D203D">
        <w:rPr>
          <w:rFonts w:asciiTheme="minorHAnsi" w:hAnsiTheme="minorHAnsi" w:cstheme="minorHAnsi"/>
        </w:rPr>
        <w:t>cuts</w:t>
      </w:r>
      <w:r w:rsidR="00114613">
        <w:rPr>
          <w:rFonts w:asciiTheme="minorHAnsi" w:hAnsiTheme="minorHAnsi" w:cstheme="minorHAnsi"/>
        </w:rPr>
        <w:t xml:space="preserve"> impose</w:t>
      </w:r>
      <w:r w:rsidR="007D203D">
        <w:rPr>
          <w:rFonts w:asciiTheme="minorHAnsi" w:hAnsiTheme="minorHAnsi" w:cstheme="minorHAnsi"/>
        </w:rPr>
        <w:t>d</w:t>
      </w:r>
      <w:r w:rsidR="00114613">
        <w:rPr>
          <w:rFonts w:asciiTheme="minorHAnsi" w:hAnsiTheme="minorHAnsi" w:cstheme="minorHAnsi"/>
        </w:rPr>
        <w:t xml:space="preserve"> on public service workers and retirees under the </w:t>
      </w:r>
      <w:r w:rsidR="002D1A3F">
        <w:rPr>
          <w:rFonts w:asciiTheme="minorHAnsi" w:hAnsiTheme="minorHAnsi" w:cstheme="minorHAnsi"/>
        </w:rPr>
        <w:t xml:space="preserve">earlier </w:t>
      </w:r>
      <w:r w:rsidR="00114613">
        <w:rPr>
          <w:rFonts w:asciiTheme="minorHAnsi" w:hAnsiTheme="minorHAnsi" w:cstheme="minorHAnsi"/>
        </w:rPr>
        <w:t>FEMPI Acts</w:t>
      </w:r>
      <w:r w:rsidR="00F85083">
        <w:rPr>
          <w:rFonts w:asciiTheme="minorHAnsi" w:hAnsiTheme="minorHAnsi" w:cstheme="minorHAnsi"/>
        </w:rPr>
        <w:t>.</w:t>
      </w:r>
      <w:r w:rsidR="00A430FE">
        <w:rPr>
          <w:rFonts w:asciiTheme="minorHAnsi" w:hAnsiTheme="minorHAnsi" w:cstheme="minorHAnsi"/>
        </w:rPr>
        <w:t xml:space="preserve"> The Minister for Public Expenditure and Reform has signed a commencement order giving effect to these pay and pension changes (S.I. No. 546/2015 –</w:t>
      </w:r>
      <w:r w:rsidR="00A430FE" w:rsidRPr="00A430FE">
        <w:rPr>
          <w:rFonts w:asciiTheme="minorHAnsi" w:hAnsiTheme="minorHAnsi" w:cstheme="minorHAnsi"/>
        </w:rPr>
        <w:t xml:space="preserve"> Financial Emergency Measures </w:t>
      </w:r>
      <w:r w:rsidR="00A430FE">
        <w:rPr>
          <w:rFonts w:asciiTheme="minorHAnsi" w:hAnsiTheme="minorHAnsi" w:cstheme="minorHAnsi"/>
        </w:rPr>
        <w:t>i</w:t>
      </w:r>
      <w:r w:rsidR="00A430FE" w:rsidRPr="00A430FE">
        <w:rPr>
          <w:rFonts w:asciiTheme="minorHAnsi" w:hAnsiTheme="minorHAnsi" w:cstheme="minorHAnsi"/>
        </w:rPr>
        <w:t xml:space="preserve">n </w:t>
      </w:r>
      <w:r w:rsidR="00A430FE">
        <w:rPr>
          <w:rFonts w:asciiTheme="minorHAnsi" w:hAnsiTheme="minorHAnsi" w:cstheme="minorHAnsi"/>
        </w:rPr>
        <w:t>t</w:t>
      </w:r>
      <w:r w:rsidR="00A430FE" w:rsidRPr="00A430FE">
        <w:rPr>
          <w:rFonts w:asciiTheme="minorHAnsi" w:hAnsiTheme="minorHAnsi" w:cstheme="minorHAnsi"/>
        </w:rPr>
        <w:t>he Public Interest Act 2015 (Commencement) Order 2015</w:t>
      </w:r>
      <w:r w:rsidR="00A430FE">
        <w:rPr>
          <w:rFonts w:asciiTheme="minorHAnsi" w:hAnsiTheme="minorHAnsi" w:cstheme="minorHAnsi"/>
        </w:rPr>
        <w:t>)</w:t>
      </w:r>
      <w:r w:rsidR="00753C58">
        <w:rPr>
          <w:rFonts w:asciiTheme="minorHAnsi" w:hAnsiTheme="minorHAnsi" w:cstheme="minorHAnsi"/>
        </w:rPr>
        <w:t>.</w:t>
      </w:r>
    </w:p>
    <w:p w:rsidR="005670FA" w:rsidRDefault="005670FA" w:rsidP="00114613">
      <w:pPr>
        <w:contextualSpacing/>
        <w:jc w:val="both"/>
        <w:rPr>
          <w:rFonts w:asciiTheme="minorHAnsi" w:hAnsiTheme="minorHAnsi" w:cstheme="minorHAnsi"/>
        </w:rPr>
      </w:pPr>
    </w:p>
    <w:p w:rsidR="00A837D0" w:rsidRDefault="005A6983" w:rsidP="00114613">
      <w:pPr>
        <w:contextualSpacing/>
        <w:jc w:val="both"/>
        <w:rPr>
          <w:rFonts w:asciiTheme="minorHAnsi" w:hAnsiTheme="minorHAnsi" w:cstheme="minorHAnsi"/>
        </w:rPr>
      </w:pPr>
      <w:r>
        <w:rPr>
          <w:rFonts w:asciiTheme="minorHAnsi" w:hAnsiTheme="minorHAnsi" w:cstheme="minorHAnsi"/>
        </w:rPr>
        <w:t>7</w:t>
      </w:r>
      <w:r w:rsidR="00730B34">
        <w:rPr>
          <w:rFonts w:asciiTheme="minorHAnsi" w:hAnsiTheme="minorHAnsi" w:cstheme="minorHAnsi"/>
        </w:rPr>
        <w:t xml:space="preserve">. Sections 6 and 7 of </w:t>
      </w:r>
      <w:r w:rsidR="007D203D">
        <w:rPr>
          <w:rFonts w:asciiTheme="minorHAnsi" w:hAnsiTheme="minorHAnsi" w:cstheme="minorHAnsi"/>
        </w:rPr>
        <w:t>FEMPI 2015</w:t>
      </w:r>
      <w:r w:rsidR="00F724C1">
        <w:rPr>
          <w:rFonts w:asciiTheme="minorHAnsi" w:hAnsiTheme="minorHAnsi" w:cstheme="minorHAnsi"/>
        </w:rPr>
        <w:t xml:space="preserve">, by amending the foundation </w:t>
      </w:r>
      <w:r w:rsidR="007D6550">
        <w:rPr>
          <w:rFonts w:asciiTheme="minorHAnsi" w:hAnsiTheme="minorHAnsi" w:cstheme="minorHAnsi"/>
        </w:rPr>
        <w:t xml:space="preserve">PSPR </w:t>
      </w:r>
      <w:r w:rsidR="00F724C1">
        <w:rPr>
          <w:rFonts w:asciiTheme="minorHAnsi" w:hAnsiTheme="minorHAnsi" w:cstheme="minorHAnsi"/>
        </w:rPr>
        <w:t>law</w:t>
      </w:r>
      <w:r w:rsidR="007D6550">
        <w:rPr>
          <w:rFonts w:asciiTheme="minorHAnsi" w:hAnsiTheme="minorHAnsi" w:cstheme="minorHAnsi"/>
        </w:rPr>
        <w:t>,</w:t>
      </w:r>
      <w:r w:rsidR="00A837D0">
        <w:rPr>
          <w:rFonts w:asciiTheme="minorHAnsi" w:hAnsiTheme="minorHAnsi" w:cstheme="minorHAnsi"/>
        </w:rPr>
        <w:t xml:space="preserve"> </w:t>
      </w:r>
      <w:r w:rsidR="001C5DE0">
        <w:rPr>
          <w:rFonts w:asciiTheme="minorHAnsi" w:hAnsiTheme="minorHAnsi" w:cstheme="minorHAnsi"/>
        </w:rPr>
        <w:t>the Financial</w:t>
      </w:r>
      <w:r w:rsidR="0005412F">
        <w:rPr>
          <w:rFonts w:asciiTheme="minorHAnsi" w:hAnsiTheme="minorHAnsi" w:cstheme="minorHAnsi"/>
        </w:rPr>
        <w:t xml:space="preserve"> Emergency Measures in the Public Interest Act 2010</w:t>
      </w:r>
      <w:r w:rsidR="004D61D4">
        <w:rPr>
          <w:rFonts w:asciiTheme="minorHAnsi" w:hAnsiTheme="minorHAnsi" w:cstheme="minorHAnsi"/>
        </w:rPr>
        <w:t xml:space="preserve"> (“FEMPI 2010”)</w:t>
      </w:r>
      <w:r w:rsidR="0005412F">
        <w:rPr>
          <w:rFonts w:asciiTheme="minorHAnsi" w:hAnsiTheme="minorHAnsi" w:cstheme="minorHAnsi"/>
        </w:rPr>
        <w:t xml:space="preserve">, </w:t>
      </w:r>
      <w:r w:rsidR="00152720">
        <w:rPr>
          <w:rFonts w:asciiTheme="minorHAnsi" w:hAnsiTheme="minorHAnsi" w:cstheme="minorHAnsi"/>
        </w:rPr>
        <w:t>lessen</w:t>
      </w:r>
      <w:r w:rsidR="007B302C">
        <w:rPr>
          <w:rFonts w:asciiTheme="minorHAnsi" w:hAnsiTheme="minorHAnsi" w:cstheme="minorHAnsi"/>
        </w:rPr>
        <w:t xml:space="preserve"> the </w:t>
      </w:r>
      <w:r w:rsidR="00614436">
        <w:rPr>
          <w:rFonts w:asciiTheme="minorHAnsi" w:hAnsiTheme="minorHAnsi" w:cstheme="minorHAnsi"/>
        </w:rPr>
        <w:t>i</w:t>
      </w:r>
      <w:r w:rsidR="00730B34">
        <w:rPr>
          <w:rFonts w:asciiTheme="minorHAnsi" w:hAnsiTheme="minorHAnsi" w:cstheme="minorHAnsi"/>
        </w:rPr>
        <w:t xml:space="preserve">mpact </w:t>
      </w:r>
      <w:r w:rsidR="00614436">
        <w:rPr>
          <w:rFonts w:asciiTheme="minorHAnsi" w:hAnsiTheme="minorHAnsi" w:cstheme="minorHAnsi"/>
        </w:rPr>
        <w:t xml:space="preserve">of the PSPR </w:t>
      </w:r>
      <w:r w:rsidR="007D6550">
        <w:rPr>
          <w:rFonts w:asciiTheme="minorHAnsi" w:hAnsiTheme="minorHAnsi" w:cstheme="minorHAnsi"/>
        </w:rPr>
        <w:t>o</w:t>
      </w:r>
      <w:r w:rsidR="007B302C">
        <w:rPr>
          <w:rFonts w:asciiTheme="minorHAnsi" w:hAnsiTheme="minorHAnsi" w:cstheme="minorHAnsi"/>
        </w:rPr>
        <w:t xml:space="preserve">n </w:t>
      </w:r>
      <w:r w:rsidR="007D203D">
        <w:rPr>
          <w:rFonts w:asciiTheme="minorHAnsi" w:hAnsiTheme="minorHAnsi" w:cstheme="minorHAnsi"/>
        </w:rPr>
        <w:t xml:space="preserve">all </w:t>
      </w:r>
      <w:r w:rsidR="0005412F">
        <w:rPr>
          <w:rFonts w:asciiTheme="minorHAnsi" w:hAnsiTheme="minorHAnsi" w:cstheme="minorHAnsi"/>
        </w:rPr>
        <w:t>PSPR-</w:t>
      </w:r>
      <w:r w:rsidR="007D203D">
        <w:rPr>
          <w:rFonts w:asciiTheme="minorHAnsi" w:hAnsiTheme="minorHAnsi" w:cstheme="minorHAnsi"/>
        </w:rPr>
        <w:t>affected pension</w:t>
      </w:r>
      <w:r w:rsidR="007B302C">
        <w:rPr>
          <w:rFonts w:asciiTheme="minorHAnsi" w:hAnsiTheme="minorHAnsi" w:cstheme="minorHAnsi"/>
        </w:rPr>
        <w:t>s</w:t>
      </w:r>
      <w:r w:rsidR="00F724C1">
        <w:rPr>
          <w:rFonts w:asciiTheme="minorHAnsi" w:hAnsiTheme="minorHAnsi" w:cstheme="minorHAnsi"/>
        </w:rPr>
        <w:t xml:space="preserve">. This is done </w:t>
      </w:r>
      <w:r w:rsidR="00BD7473">
        <w:rPr>
          <w:rFonts w:asciiTheme="minorHAnsi" w:hAnsiTheme="minorHAnsi" w:cstheme="minorHAnsi"/>
        </w:rPr>
        <w:t>mainly</w:t>
      </w:r>
      <w:r w:rsidR="007D203D">
        <w:rPr>
          <w:rFonts w:asciiTheme="minorHAnsi" w:hAnsiTheme="minorHAnsi" w:cstheme="minorHAnsi"/>
        </w:rPr>
        <w:t xml:space="preserve"> by increasing the </w:t>
      </w:r>
      <w:r w:rsidR="00C66E0C">
        <w:rPr>
          <w:rFonts w:asciiTheme="minorHAnsi" w:hAnsiTheme="minorHAnsi" w:cstheme="minorHAnsi"/>
        </w:rPr>
        <w:t xml:space="preserve">thresholds or </w:t>
      </w:r>
      <w:r w:rsidR="007D6550">
        <w:rPr>
          <w:rFonts w:asciiTheme="minorHAnsi" w:hAnsiTheme="minorHAnsi" w:cstheme="minorHAnsi"/>
        </w:rPr>
        <w:t xml:space="preserve">money </w:t>
      </w:r>
      <w:r w:rsidR="007D203D">
        <w:rPr>
          <w:rFonts w:asciiTheme="minorHAnsi" w:hAnsiTheme="minorHAnsi" w:cstheme="minorHAnsi"/>
        </w:rPr>
        <w:t>e</w:t>
      </w:r>
      <w:r w:rsidR="007D6550">
        <w:rPr>
          <w:rFonts w:asciiTheme="minorHAnsi" w:hAnsiTheme="minorHAnsi" w:cstheme="minorHAnsi"/>
        </w:rPr>
        <w:t xml:space="preserve">xemption </w:t>
      </w:r>
      <w:r w:rsidR="007D203D">
        <w:rPr>
          <w:rFonts w:asciiTheme="minorHAnsi" w:hAnsiTheme="minorHAnsi" w:cstheme="minorHAnsi"/>
        </w:rPr>
        <w:t>point</w:t>
      </w:r>
      <w:r w:rsidR="00B65341">
        <w:rPr>
          <w:rFonts w:asciiTheme="minorHAnsi" w:hAnsiTheme="minorHAnsi" w:cstheme="minorHAnsi"/>
        </w:rPr>
        <w:t xml:space="preserve">s </w:t>
      </w:r>
      <w:r w:rsidR="007D6550">
        <w:rPr>
          <w:rFonts w:asciiTheme="minorHAnsi" w:hAnsiTheme="minorHAnsi" w:cstheme="minorHAnsi"/>
        </w:rPr>
        <w:t xml:space="preserve">at which an actual </w:t>
      </w:r>
      <w:r w:rsidR="00B70910">
        <w:rPr>
          <w:rFonts w:asciiTheme="minorHAnsi" w:hAnsiTheme="minorHAnsi" w:cstheme="minorHAnsi"/>
        </w:rPr>
        <w:t>exposure</w:t>
      </w:r>
      <w:r w:rsidR="007D6550">
        <w:rPr>
          <w:rFonts w:asciiTheme="minorHAnsi" w:hAnsiTheme="minorHAnsi" w:cstheme="minorHAnsi"/>
        </w:rPr>
        <w:t xml:space="preserve"> to PSPR arises</w:t>
      </w:r>
      <w:r w:rsidR="007D203D">
        <w:rPr>
          <w:rFonts w:asciiTheme="minorHAnsi" w:hAnsiTheme="minorHAnsi" w:cstheme="minorHAnsi"/>
        </w:rPr>
        <w:t xml:space="preserve">, and </w:t>
      </w:r>
      <w:r w:rsidR="00BD7473">
        <w:rPr>
          <w:rFonts w:asciiTheme="minorHAnsi" w:hAnsiTheme="minorHAnsi" w:cstheme="minorHAnsi"/>
        </w:rPr>
        <w:t xml:space="preserve">also </w:t>
      </w:r>
      <w:r w:rsidR="007D203D">
        <w:rPr>
          <w:rFonts w:asciiTheme="minorHAnsi" w:hAnsiTheme="minorHAnsi" w:cstheme="minorHAnsi"/>
        </w:rPr>
        <w:t xml:space="preserve">by </w:t>
      </w:r>
      <w:r w:rsidR="00730B34">
        <w:rPr>
          <w:rFonts w:asciiTheme="minorHAnsi" w:hAnsiTheme="minorHAnsi" w:cstheme="minorHAnsi"/>
        </w:rPr>
        <w:t xml:space="preserve">decreasing </w:t>
      </w:r>
      <w:r w:rsidR="00BD7473">
        <w:rPr>
          <w:rFonts w:asciiTheme="minorHAnsi" w:hAnsiTheme="minorHAnsi" w:cstheme="minorHAnsi"/>
        </w:rPr>
        <w:t xml:space="preserve">some </w:t>
      </w:r>
      <w:r w:rsidR="00C66E0C">
        <w:rPr>
          <w:rFonts w:asciiTheme="minorHAnsi" w:hAnsiTheme="minorHAnsi" w:cstheme="minorHAnsi"/>
        </w:rPr>
        <w:t xml:space="preserve">PSPR </w:t>
      </w:r>
      <w:r w:rsidR="00B70910">
        <w:rPr>
          <w:rFonts w:asciiTheme="minorHAnsi" w:hAnsiTheme="minorHAnsi" w:cstheme="minorHAnsi"/>
        </w:rPr>
        <w:t xml:space="preserve">reduction </w:t>
      </w:r>
      <w:r w:rsidR="00A2034C">
        <w:rPr>
          <w:rFonts w:asciiTheme="minorHAnsi" w:hAnsiTheme="minorHAnsi" w:cstheme="minorHAnsi"/>
        </w:rPr>
        <w:t>rates</w:t>
      </w:r>
      <w:r w:rsidR="00B65341">
        <w:rPr>
          <w:rFonts w:asciiTheme="minorHAnsi" w:hAnsiTheme="minorHAnsi" w:cstheme="minorHAnsi"/>
        </w:rPr>
        <w:t xml:space="preserve"> at particular money bands of a public service pension</w:t>
      </w:r>
      <w:r w:rsidR="007D203D">
        <w:rPr>
          <w:rFonts w:asciiTheme="minorHAnsi" w:hAnsiTheme="minorHAnsi" w:cstheme="minorHAnsi"/>
        </w:rPr>
        <w:t xml:space="preserve">. </w:t>
      </w:r>
    </w:p>
    <w:p w:rsidR="00A837D0" w:rsidRDefault="00A837D0" w:rsidP="00114613">
      <w:pPr>
        <w:contextualSpacing/>
        <w:jc w:val="both"/>
        <w:rPr>
          <w:rFonts w:asciiTheme="minorHAnsi" w:hAnsiTheme="minorHAnsi" w:cstheme="minorHAnsi"/>
        </w:rPr>
      </w:pPr>
    </w:p>
    <w:p w:rsidR="007D203D" w:rsidRDefault="005A6983" w:rsidP="00114613">
      <w:pPr>
        <w:contextualSpacing/>
        <w:jc w:val="both"/>
        <w:rPr>
          <w:rFonts w:asciiTheme="minorHAnsi" w:hAnsiTheme="minorHAnsi" w:cstheme="minorHAnsi"/>
        </w:rPr>
      </w:pPr>
      <w:r>
        <w:rPr>
          <w:rFonts w:asciiTheme="minorHAnsi" w:hAnsiTheme="minorHAnsi" w:cstheme="minorHAnsi"/>
        </w:rPr>
        <w:t>8</w:t>
      </w:r>
      <w:r w:rsidR="00A837D0">
        <w:rPr>
          <w:rFonts w:asciiTheme="minorHAnsi" w:hAnsiTheme="minorHAnsi" w:cstheme="minorHAnsi"/>
        </w:rPr>
        <w:t>. S</w:t>
      </w:r>
      <w:r w:rsidR="007D203D">
        <w:rPr>
          <w:rFonts w:asciiTheme="minorHAnsi" w:hAnsiTheme="minorHAnsi" w:cstheme="minorHAnsi"/>
        </w:rPr>
        <w:t xml:space="preserve">pecifically, and </w:t>
      </w:r>
      <w:r w:rsidR="00614436">
        <w:rPr>
          <w:rFonts w:asciiTheme="minorHAnsi" w:hAnsiTheme="minorHAnsi" w:cstheme="minorHAnsi"/>
        </w:rPr>
        <w:t xml:space="preserve">as </w:t>
      </w:r>
      <w:r w:rsidR="007D203D">
        <w:rPr>
          <w:rFonts w:asciiTheme="minorHAnsi" w:hAnsiTheme="minorHAnsi" w:cstheme="minorHAnsi"/>
        </w:rPr>
        <w:t xml:space="preserve">set out below by reference to the </w:t>
      </w:r>
      <w:r w:rsidR="00730B34">
        <w:rPr>
          <w:rFonts w:asciiTheme="minorHAnsi" w:hAnsiTheme="minorHAnsi" w:cstheme="minorHAnsi"/>
        </w:rPr>
        <w:t>three</w:t>
      </w:r>
      <w:r w:rsidR="007D203D">
        <w:rPr>
          <w:rFonts w:asciiTheme="minorHAnsi" w:hAnsiTheme="minorHAnsi" w:cstheme="minorHAnsi"/>
        </w:rPr>
        <w:t xml:space="preserve"> PSPR-impacted pension groups d</w:t>
      </w:r>
      <w:r w:rsidR="007D6550">
        <w:rPr>
          <w:rFonts w:asciiTheme="minorHAnsi" w:hAnsiTheme="minorHAnsi" w:cstheme="minorHAnsi"/>
        </w:rPr>
        <w:t xml:space="preserve">istinguished </w:t>
      </w:r>
      <w:r w:rsidR="007D203D">
        <w:rPr>
          <w:rFonts w:asciiTheme="minorHAnsi" w:hAnsiTheme="minorHAnsi" w:cstheme="minorHAnsi"/>
        </w:rPr>
        <w:t xml:space="preserve">in paragraph </w:t>
      </w:r>
      <w:r>
        <w:rPr>
          <w:rFonts w:asciiTheme="minorHAnsi" w:hAnsiTheme="minorHAnsi" w:cstheme="minorHAnsi"/>
        </w:rPr>
        <w:t>5</w:t>
      </w:r>
      <w:r w:rsidR="007D6550">
        <w:rPr>
          <w:rFonts w:asciiTheme="minorHAnsi" w:hAnsiTheme="minorHAnsi" w:cstheme="minorHAnsi"/>
        </w:rPr>
        <w:t xml:space="preserve"> above</w:t>
      </w:r>
      <w:r w:rsidR="007D203D">
        <w:rPr>
          <w:rFonts w:asciiTheme="minorHAnsi" w:hAnsiTheme="minorHAnsi" w:cstheme="minorHAnsi"/>
        </w:rPr>
        <w:t xml:space="preserve">, </w:t>
      </w:r>
      <w:r w:rsidR="007B4901">
        <w:rPr>
          <w:rFonts w:asciiTheme="minorHAnsi" w:hAnsiTheme="minorHAnsi" w:cstheme="minorHAnsi"/>
        </w:rPr>
        <w:t xml:space="preserve">FEMPI 2015 puts in place </w:t>
      </w:r>
      <w:r w:rsidR="00A837D0">
        <w:rPr>
          <w:rFonts w:asciiTheme="minorHAnsi" w:hAnsiTheme="minorHAnsi" w:cstheme="minorHAnsi"/>
        </w:rPr>
        <w:t xml:space="preserve">revised </w:t>
      </w:r>
      <w:r w:rsidR="007B4901">
        <w:rPr>
          <w:rFonts w:asciiTheme="minorHAnsi" w:hAnsiTheme="minorHAnsi" w:cstheme="minorHAnsi"/>
        </w:rPr>
        <w:t>PSPR tables on 1 January 2016, 1 J</w:t>
      </w:r>
      <w:r w:rsidR="00C66E0C">
        <w:rPr>
          <w:rFonts w:asciiTheme="minorHAnsi" w:hAnsiTheme="minorHAnsi" w:cstheme="minorHAnsi"/>
        </w:rPr>
        <w:t>anuary 2017 and 1 January 2018, as follows:</w:t>
      </w:r>
    </w:p>
    <w:p w:rsidR="00152720" w:rsidRDefault="00152720" w:rsidP="00152720">
      <w:pPr>
        <w:contextualSpacing/>
        <w:jc w:val="both"/>
        <w:rPr>
          <w:rFonts w:asciiTheme="minorHAnsi" w:hAnsiTheme="minorHAnsi" w:cstheme="minorHAnsi"/>
        </w:rPr>
      </w:pPr>
    </w:p>
    <w:p w:rsidR="00F438B7" w:rsidRDefault="00F438B7" w:rsidP="00DC735D">
      <w:pPr>
        <w:contextualSpacing/>
        <w:jc w:val="both"/>
        <w:rPr>
          <w:rFonts w:asciiTheme="minorHAnsi" w:hAnsiTheme="minorHAnsi" w:cstheme="minorHAnsi"/>
          <w:b/>
        </w:rPr>
      </w:pPr>
    </w:p>
    <w:p w:rsidR="00875A19" w:rsidRPr="008469B6" w:rsidRDefault="00DC735D" w:rsidP="00875A19">
      <w:pPr>
        <w:contextualSpacing/>
        <w:jc w:val="both"/>
        <w:rPr>
          <w:rFonts w:asciiTheme="minorHAnsi" w:hAnsiTheme="minorHAnsi" w:cstheme="minorHAnsi"/>
          <w:u w:val="single"/>
        </w:rPr>
      </w:pPr>
      <w:r>
        <w:rPr>
          <w:rFonts w:asciiTheme="minorHAnsi" w:hAnsiTheme="minorHAnsi" w:cstheme="minorHAnsi"/>
          <w:b/>
        </w:rPr>
        <w:t>(i)</w:t>
      </w:r>
      <w:r>
        <w:rPr>
          <w:rFonts w:asciiTheme="minorHAnsi" w:hAnsiTheme="minorHAnsi" w:cstheme="minorHAnsi"/>
          <w:b/>
        </w:rPr>
        <w:tab/>
      </w:r>
      <w:r w:rsidR="00875A19" w:rsidRPr="008469B6">
        <w:rPr>
          <w:rFonts w:asciiTheme="minorHAnsi" w:hAnsiTheme="minorHAnsi" w:cstheme="minorHAnsi"/>
          <w:b/>
          <w:u w:val="single"/>
        </w:rPr>
        <w:t>Group 1: Pre-March 2012 pensions up to €34,132 (before PSPR)</w:t>
      </w:r>
    </w:p>
    <w:p w:rsidR="00550A7B" w:rsidRDefault="00550A7B" w:rsidP="00152720">
      <w:pPr>
        <w:contextualSpacing/>
        <w:jc w:val="both"/>
        <w:rPr>
          <w:rFonts w:asciiTheme="minorHAnsi" w:hAnsiTheme="minorHAnsi" w:cstheme="minorHAnsi"/>
        </w:rPr>
      </w:pPr>
    </w:p>
    <w:p w:rsidR="004568FE" w:rsidRDefault="004568FE" w:rsidP="00152720">
      <w:pPr>
        <w:contextualSpacing/>
        <w:jc w:val="both"/>
        <w:rPr>
          <w:rFonts w:asciiTheme="minorHAnsi" w:hAnsiTheme="minorHAnsi" w:cstheme="minorHAnsi"/>
        </w:rPr>
      </w:pPr>
    </w:p>
    <w:p w:rsidR="0005412F" w:rsidRDefault="007B4901" w:rsidP="00152720">
      <w:pPr>
        <w:contextualSpacing/>
        <w:jc w:val="both"/>
        <w:rPr>
          <w:rFonts w:asciiTheme="minorHAnsi" w:hAnsiTheme="minorHAnsi" w:cstheme="minorHAnsi"/>
        </w:rPr>
      </w:pPr>
      <w:r>
        <w:rPr>
          <w:rFonts w:asciiTheme="minorHAnsi" w:hAnsiTheme="minorHAnsi" w:cstheme="minorHAnsi"/>
        </w:rPr>
        <w:t>1 January 2016:</w:t>
      </w:r>
    </w:p>
    <w:tbl>
      <w:tblPr>
        <w:tblStyle w:val="TableGrid"/>
        <w:tblW w:w="0" w:type="auto"/>
        <w:tblLook w:val="01E0" w:firstRow="1" w:lastRow="1" w:firstColumn="1" w:lastColumn="1" w:noHBand="0" w:noVBand="0"/>
      </w:tblPr>
      <w:tblGrid>
        <w:gridCol w:w="5080"/>
        <w:gridCol w:w="2428"/>
      </w:tblGrid>
      <w:tr w:rsidR="00152720"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152720" w:rsidRPr="009233BB" w:rsidRDefault="00142D56"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TABLE A</w:t>
            </w:r>
            <w:r w:rsidR="00624FC8">
              <w:rPr>
                <w:rFonts w:asciiTheme="minorHAnsi" w:hAnsiTheme="minorHAnsi" w:cstheme="minorHAnsi"/>
                <w:b/>
                <w:sz w:val="24"/>
                <w:szCs w:val="24"/>
                <w:lang w:val="en-GB"/>
              </w:rPr>
              <w:t>1</w:t>
            </w:r>
            <w:r w:rsidR="00DC735D">
              <w:rPr>
                <w:rFonts w:asciiTheme="minorHAnsi" w:hAnsiTheme="minorHAnsi" w:cstheme="minorHAnsi"/>
                <w:b/>
                <w:sz w:val="24"/>
                <w:szCs w:val="24"/>
                <w:lang w:val="en-GB"/>
              </w:rPr>
              <w:t xml:space="preserve"> (Group 1)</w:t>
            </w:r>
            <w:r w:rsidR="00C311E5">
              <w:rPr>
                <w:rFonts w:asciiTheme="minorHAnsi" w:hAnsiTheme="minorHAnsi" w:cstheme="minorHAnsi"/>
                <w:b/>
                <w:sz w:val="24"/>
                <w:szCs w:val="24"/>
                <w:lang w:val="en-GB"/>
              </w:rPr>
              <w:t>:</w:t>
            </w:r>
            <w:r>
              <w:rPr>
                <w:rFonts w:asciiTheme="minorHAnsi" w:hAnsiTheme="minorHAnsi" w:cstheme="minorHAnsi"/>
                <w:b/>
                <w:sz w:val="24"/>
                <w:szCs w:val="24"/>
                <w:lang w:val="en-GB"/>
              </w:rPr>
              <w:t xml:space="preserve">  </w:t>
            </w:r>
            <w:r w:rsidR="00C311E5">
              <w:rPr>
                <w:rFonts w:asciiTheme="minorHAnsi" w:hAnsiTheme="minorHAnsi" w:cstheme="minorHAnsi"/>
                <w:b/>
                <w:sz w:val="24"/>
                <w:szCs w:val="24"/>
                <w:lang w:val="en-GB"/>
              </w:rPr>
              <w:t xml:space="preserve">PSPR </w:t>
            </w:r>
            <w:r w:rsidR="00152720">
              <w:rPr>
                <w:rFonts w:asciiTheme="minorHAnsi" w:hAnsiTheme="minorHAnsi" w:cstheme="minorHAnsi"/>
                <w:b/>
                <w:sz w:val="24"/>
                <w:szCs w:val="24"/>
                <w:lang w:val="en-GB"/>
              </w:rPr>
              <w:t>from 1 January 2016 to 31 December 2016</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152720" w:rsidP="00897238">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€1</w:t>
            </w:r>
            <w:r w:rsidR="00897238">
              <w:rPr>
                <w:rFonts w:asciiTheme="minorHAnsi" w:hAnsiTheme="minorHAnsi" w:cstheme="minorHAnsi"/>
                <w:sz w:val="24"/>
                <w:szCs w:val="24"/>
                <w:lang w:val="en-GB"/>
              </w:rPr>
              <w:t>8</w:t>
            </w:r>
            <w:r w:rsidRPr="009233BB">
              <w:rPr>
                <w:rFonts w:asciiTheme="minorHAnsi" w:hAnsiTheme="minorHAnsi" w:cstheme="minorHAnsi"/>
                <w:sz w:val="24"/>
                <w:szCs w:val="24"/>
                <w:lang w:val="en-GB"/>
              </w:rPr>
              <w:t>,</w:t>
            </w:r>
            <w:r w:rsidR="00897238">
              <w:rPr>
                <w:rFonts w:asciiTheme="minorHAnsi" w:hAnsiTheme="minorHAnsi" w:cstheme="minorHAnsi"/>
                <w:sz w:val="24"/>
                <w:szCs w:val="24"/>
                <w:lang w:val="en-GB"/>
              </w:rPr>
              <w:t>7</w:t>
            </w:r>
            <w:r w:rsidRPr="009233BB">
              <w:rPr>
                <w:rFonts w:asciiTheme="minorHAnsi" w:hAnsiTheme="minorHAnsi" w:cstheme="minorHAnsi"/>
                <w:sz w:val="24"/>
                <w:szCs w:val="24"/>
                <w:lang w:val="en-GB"/>
              </w:rPr>
              <w:t>00</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152720" w:rsidP="00543CA3">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w:t>
            </w:r>
            <w:r w:rsidR="00543CA3">
              <w:rPr>
                <w:rFonts w:asciiTheme="minorHAnsi" w:hAnsiTheme="minorHAnsi" w:cstheme="minorHAnsi"/>
                <w:sz w:val="24"/>
                <w:szCs w:val="24"/>
                <w:lang w:val="en-GB"/>
              </w:rPr>
              <w:t>8</w:t>
            </w:r>
            <w:r w:rsidRPr="009233BB">
              <w:rPr>
                <w:rFonts w:asciiTheme="minorHAnsi" w:hAnsiTheme="minorHAnsi" w:cstheme="minorHAnsi"/>
                <w:sz w:val="24"/>
                <w:szCs w:val="24"/>
                <w:lang w:val="en-GB"/>
              </w:rPr>
              <w:t>,</w:t>
            </w:r>
            <w:r w:rsidR="00543CA3">
              <w:rPr>
                <w:rFonts w:asciiTheme="minorHAnsi" w:hAnsiTheme="minorHAnsi" w:cstheme="minorHAnsi"/>
                <w:sz w:val="24"/>
                <w:szCs w:val="24"/>
                <w:lang w:val="en-GB"/>
              </w:rPr>
              <w:t>7</w:t>
            </w:r>
            <w:r w:rsidRPr="009233BB">
              <w:rPr>
                <w:rFonts w:asciiTheme="minorHAnsi" w:hAnsiTheme="minorHAnsi" w:cstheme="minorHAnsi"/>
                <w:sz w:val="24"/>
                <w:szCs w:val="24"/>
                <w:lang w:val="en-GB"/>
              </w:rPr>
              <w:t>00 but not over €24,000</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6</w:t>
            </w:r>
            <w:r>
              <w:rPr>
                <w:rFonts w:asciiTheme="minorHAnsi" w:hAnsiTheme="minorHAnsi" w:cstheme="minorHAnsi"/>
                <w:sz w:val="24"/>
                <w:szCs w:val="24"/>
                <w:lang w:val="en-GB"/>
              </w:rPr>
              <w:t>%</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0A49A1" w:rsidP="000A49A1">
            <w:pPr>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Any amount over €24,000</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9</w:t>
            </w:r>
            <w:r>
              <w:rPr>
                <w:rFonts w:asciiTheme="minorHAnsi" w:hAnsiTheme="minorHAnsi" w:cstheme="minorHAnsi"/>
                <w:sz w:val="24"/>
                <w:szCs w:val="24"/>
                <w:lang w:val="en-GB"/>
              </w:rPr>
              <w:t>%</w:t>
            </w:r>
          </w:p>
        </w:tc>
      </w:tr>
    </w:tbl>
    <w:p w:rsidR="00014FA7" w:rsidRDefault="00014FA7" w:rsidP="00152720">
      <w:pPr>
        <w:contextualSpacing/>
        <w:jc w:val="both"/>
        <w:rPr>
          <w:rFonts w:asciiTheme="minorHAnsi" w:hAnsiTheme="minorHAnsi" w:cstheme="minorHAnsi"/>
        </w:rPr>
      </w:pPr>
    </w:p>
    <w:p w:rsidR="007B4901" w:rsidRDefault="007B4901" w:rsidP="007B4901">
      <w:pPr>
        <w:contextualSpacing/>
        <w:jc w:val="both"/>
        <w:rPr>
          <w:rFonts w:asciiTheme="minorHAnsi" w:hAnsiTheme="minorHAnsi" w:cstheme="minorHAnsi"/>
        </w:rPr>
      </w:pPr>
      <w:r>
        <w:rPr>
          <w:rFonts w:asciiTheme="minorHAnsi" w:hAnsiTheme="minorHAnsi" w:cstheme="minorHAnsi"/>
        </w:rPr>
        <w:t>1 January 2017:</w:t>
      </w:r>
    </w:p>
    <w:tbl>
      <w:tblPr>
        <w:tblStyle w:val="TableGrid"/>
        <w:tblW w:w="0" w:type="auto"/>
        <w:tblLook w:val="01E0" w:firstRow="1" w:lastRow="1" w:firstColumn="1" w:lastColumn="1" w:noHBand="0" w:noVBand="0"/>
      </w:tblPr>
      <w:tblGrid>
        <w:gridCol w:w="5080"/>
        <w:gridCol w:w="2428"/>
      </w:tblGrid>
      <w:tr w:rsidR="00152720"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152720" w:rsidRPr="009233BB" w:rsidRDefault="00C311E5"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w:t>
            </w:r>
            <w:r w:rsidR="00DC735D">
              <w:rPr>
                <w:rFonts w:asciiTheme="minorHAnsi" w:hAnsiTheme="minorHAnsi" w:cstheme="minorHAnsi"/>
                <w:b/>
                <w:sz w:val="24"/>
                <w:szCs w:val="24"/>
                <w:lang w:val="en-GB"/>
              </w:rPr>
              <w:t>ABLE</w:t>
            </w:r>
            <w:r>
              <w:rPr>
                <w:rFonts w:asciiTheme="minorHAnsi" w:hAnsiTheme="minorHAnsi" w:cstheme="minorHAnsi"/>
                <w:b/>
                <w:sz w:val="24"/>
                <w:szCs w:val="24"/>
                <w:lang w:val="en-GB"/>
              </w:rPr>
              <w:t xml:space="preserve"> B</w:t>
            </w:r>
            <w:r w:rsidR="00624FC8">
              <w:rPr>
                <w:rFonts w:asciiTheme="minorHAnsi" w:hAnsiTheme="minorHAnsi" w:cstheme="minorHAnsi"/>
                <w:b/>
                <w:sz w:val="24"/>
                <w:szCs w:val="24"/>
                <w:lang w:val="en-GB"/>
              </w:rPr>
              <w:t>1</w:t>
            </w:r>
            <w:r w:rsidR="00DC735D">
              <w:rPr>
                <w:rFonts w:asciiTheme="minorHAnsi" w:hAnsiTheme="minorHAnsi" w:cstheme="minorHAnsi"/>
                <w:b/>
                <w:sz w:val="24"/>
                <w:szCs w:val="24"/>
                <w:lang w:val="en-GB"/>
              </w:rPr>
              <w:t xml:space="preserve"> (Group 1)</w:t>
            </w:r>
            <w:r>
              <w:rPr>
                <w:rFonts w:asciiTheme="minorHAnsi" w:hAnsiTheme="minorHAnsi" w:cstheme="minorHAnsi"/>
                <w:b/>
                <w:sz w:val="24"/>
                <w:szCs w:val="24"/>
                <w:lang w:val="en-GB"/>
              </w:rPr>
              <w:t>:</w:t>
            </w:r>
            <w:r w:rsidR="00152720">
              <w:rPr>
                <w:rFonts w:asciiTheme="minorHAnsi" w:hAnsiTheme="minorHAnsi" w:cstheme="minorHAnsi"/>
                <w:b/>
                <w:sz w:val="24"/>
                <w:szCs w:val="24"/>
                <w:lang w:val="en-GB"/>
              </w:rPr>
              <w:t xml:space="preserve"> </w:t>
            </w:r>
            <w:r w:rsidR="00142D56">
              <w:rPr>
                <w:rFonts w:asciiTheme="minorHAnsi" w:hAnsiTheme="minorHAnsi" w:cstheme="minorHAnsi"/>
                <w:b/>
                <w:sz w:val="24"/>
                <w:szCs w:val="24"/>
                <w:lang w:val="en-GB"/>
              </w:rPr>
              <w:t>1</w:t>
            </w:r>
            <w:r w:rsidR="00152720">
              <w:rPr>
                <w:rFonts w:asciiTheme="minorHAnsi" w:hAnsiTheme="minorHAnsi" w:cstheme="minorHAnsi"/>
                <w:b/>
                <w:sz w:val="24"/>
                <w:szCs w:val="24"/>
                <w:lang w:val="en-GB"/>
              </w:rPr>
              <w:t xml:space="preserve"> </w:t>
            </w:r>
            <w:r w:rsidR="00152720" w:rsidRPr="009233BB">
              <w:rPr>
                <w:rFonts w:asciiTheme="minorHAnsi" w:hAnsiTheme="minorHAnsi" w:cstheme="minorHAnsi"/>
                <w:b/>
                <w:sz w:val="24"/>
                <w:szCs w:val="24"/>
                <w:lang w:val="en-GB"/>
              </w:rPr>
              <w:t xml:space="preserve">PSPR </w:t>
            </w:r>
            <w:r w:rsidR="00152720">
              <w:rPr>
                <w:rFonts w:asciiTheme="minorHAnsi" w:hAnsiTheme="minorHAnsi" w:cstheme="minorHAnsi"/>
                <w:b/>
                <w:sz w:val="24"/>
                <w:szCs w:val="24"/>
                <w:lang w:val="en-GB"/>
              </w:rPr>
              <w:t>from 1 January 2017 to 31 December 201</w:t>
            </w:r>
            <w:r w:rsidR="000A49A1">
              <w:rPr>
                <w:rFonts w:asciiTheme="minorHAnsi" w:hAnsiTheme="minorHAnsi" w:cstheme="minorHAnsi"/>
                <w:b/>
                <w:sz w:val="24"/>
                <w:szCs w:val="24"/>
                <w:lang w:val="en-GB"/>
              </w:rPr>
              <w:t>7</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152720" w:rsidP="00897238">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w:t>
            </w:r>
            <w:r w:rsidR="00897238">
              <w:rPr>
                <w:rFonts w:asciiTheme="minorHAnsi" w:hAnsiTheme="minorHAnsi" w:cstheme="minorHAnsi"/>
                <w:sz w:val="24"/>
                <w:szCs w:val="24"/>
                <w:lang w:val="en-GB"/>
              </w:rPr>
              <w:t>26</w:t>
            </w:r>
            <w:r w:rsidRPr="009233BB">
              <w:rPr>
                <w:rFonts w:asciiTheme="minorHAnsi" w:hAnsiTheme="minorHAnsi" w:cstheme="minorHAnsi"/>
                <w:sz w:val="24"/>
                <w:szCs w:val="24"/>
                <w:lang w:val="en-GB"/>
              </w:rPr>
              <w:t>,</w:t>
            </w:r>
            <w:r w:rsidR="00897238">
              <w:rPr>
                <w:rFonts w:asciiTheme="minorHAnsi" w:hAnsiTheme="minorHAnsi" w:cstheme="minorHAnsi"/>
                <w:sz w:val="24"/>
                <w:szCs w:val="24"/>
                <w:lang w:val="en-GB"/>
              </w:rPr>
              <w:t>0</w:t>
            </w:r>
            <w:r w:rsidRPr="009233BB">
              <w:rPr>
                <w:rFonts w:asciiTheme="minorHAnsi" w:hAnsiTheme="minorHAnsi" w:cstheme="minorHAnsi"/>
                <w:sz w:val="24"/>
                <w:szCs w:val="24"/>
                <w:lang w:val="en-GB"/>
              </w:rPr>
              <w:t>00</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152720" w:rsidP="00543CA3">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€2</w:t>
            </w:r>
            <w:r w:rsidR="00543CA3">
              <w:rPr>
                <w:rFonts w:asciiTheme="minorHAnsi" w:hAnsiTheme="minorHAnsi" w:cstheme="minorHAnsi"/>
                <w:sz w:val="24"/>
                <w:szCs w:val="24"/>
                <w:lang w:val="en-GB"/>
              </w:rPr>
              <w:t>6</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9</w:t>
            </w:r>
            <w:r>
              <w:rPr>
                <w:rFonts w:asciiTheme="minorHAnsi" w:hAnsiTheme="minorHAnsi" w:cstheme="minorHAnsi"/>
                <w:sz w:val="24"/>
                <w:szCs w:val="24"/>
                <w:lang w:val="en-GB"/>
              </w:rPr>
              <w:t>%</w:t>
            </w:r>
          </w:p>
        </w:tc>
      </w:tr>
    </w:tbl>
    <w:p w:rsidR="00152720" w:rsidRDefault="00152720" w:rsidP="00152720">
      <w:pPr>
        <w:contextualSpacing/>
        <w:jc w:val="both"/>
        <w:rPr>
          <w:rFonts w:asciiTheme="minorHAnsi" w:hAnsiTheme="minorHAnsi" w:cstheme="minorHAnsi"/>
        </w:rPr>
      </w:pPr>
    </w:p>
    <w:p w:rsidR="007B4901" w:rsidRDefault="007B4901" w:rsidP="007B4901">
      <w:pPr>
        <w:contextualSpacing/>
        <w:jc w:val="both"/>
        <w:rPr>
          <w:rFonts w:asciiTheme="minorHAnsi" w:hAnsiTheme="minorHAnsi" w:cstheme="minorHAnsi"/>
        </w:rPr>
      </w:pPr>
      <w:r>
        <w:rPr>
          <w:rFonts w:asciiTheme="minorHAnsi" w:hAnsiTheme="minorHAnsi" w:cstheme="minorHAnsi"/>
        </w:rPr>
        <w:t>1 January 2018:</w:t>
      </w:r>
    </w:p>
    <w:tbl>
      <w:tblPr>
        <w:tblStyle w:val="TableGrid"/>
        <w:tblW w:w="0" w:type="auto"/>
        <w:tblLook w:val="01E0" w:firstRow="1" w:lastRow="1" w:firstColumn="1" w:lastColumn="1" w:noHBand="0" w:noVBand="0"/>
      </w:tblPr>
      <w:tblGrid>
        <w:gridCol w:w="5080"/>
        <w:gridCol w:w="2428"/>
      </w:tblGrid>
      <w:tr w:rsidR="00152720"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152720" w:rsidRPr="009233BB" w:rsidRDefault="00C311E5"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w:t>
            </w:r>
            <w:r w:rsidR="00DC735D">
              <w:rPr>
                <w:rFonts w:asciiTheme="minorHAnsi" w:hAnsiTheme="minorHAnsi" w:cstheme="minorHAnsi"/>
                <w:b/>
                <w:sz w:val="24"/>
                <w:szCs w:val="24"/>
                <w:lang w:val="en-GB"/>
              </w:rPr>
              <w:t>ABLE</w:t>
            </w:r>
            <w:r>
              <w:rPr>
                <w:rFonts w:asciiTheme="minorHAnsi" w:hAnsiTheme="minorHAnsi" w:cstheme="minorHAnsi"/>
                <w:b/>
                <w:sz w:val="24"/>
                <w:szCs w:val="24"/>
                <w:lang w:val="en-GB"/>
              </w:rPr>
              <w:t xml:space="preserve"> C</w:t>
            </w:r>
            <w:r w:rsidR="00624FC8">
              <w:rPr>
                <w:rFonts w:asciiTheme="minorHAnsi" w:hAnsiTheme="minorHAnsi" w:cstheme="minorHAnsi"/>
                <w:b/>
                <w:sz w:val="24"/>
                <w:szCs w:val="24"/>
                <w:lang w:val="en-GB"/>
              </w:rPr>
              <w:t>1</w:t>
            </w:r>
            <w:r w:rsidR="00DC735D">
              <w:rPr>
                <w:rFonts w:asciiTheme="minorHAnsi" w:hAnsiTheme="minorHAnsi" w:cstheme="minorHAnsi"/>
                <w:b/>
                <w:sz w:val="24"/>
                <w:szCs w:val="24"/>
                <w:lang w:val="en-GB"/>
              </w:rPr>
              <w:t xml:space="preserve"> (Group 1)</w:t>
            </w:r>
            <w:r>
              <w:rPr>
                <w:rFonts w:asciiTheme="minorHAnsi" w:hAnsiTheme="minorHAnsi" w:cstheme="minorHAnsi"/>
                <w:b/>
                <w:sz w:val="24"/>
                <w:szCs w:val="24"/>
                <w:lang w:val="en-GB"/>
              </w:rPr>
              <w:t xml:space="preserve">: PSPR </w:t>
            </w:r>
            <w:r w:rsidR="00152720">
              <w:rPr>
                <w:rFonts w:asciiTheme="minorHAnsi" w:hAnsiTheme="minorHAnsi" w:cstheme="minorHAnsi"/>
                <w:b/>
                <w:sz w:val="24"/>
                <w:szCs w:val="24"/>
                <w:lang w:val="en-GB"/>
              </w:rPr>
              <w:t>from 1 January 2018</w:t>
            </w:r>
            <w:r w:rsidR="007D6550">
              <w:rPr>
                <w:rFonts w:asciiTheme="minorHAnsi" w:hAnsiTheme="minorHAnsi" w:cstheme="minorHAnsi"/>
                <w:b/>
                <w:sz w:val="24"/>
                <w:szCs w:val="24"/>
                <w:lang w:val="en-GB"/>
              </w:rPr>
              <w:t xml:space="preserve"> onwards</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15272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152720" w:rsidRPr="009233BB" w:rsidRDefault="000A49A1" w:rsidP="000A49A1">
            <w:pPr>
              <w:contextualSpacing/>
              <w:jc w:val="both"/>
              <w:rPr>
                <w:rFonts w:asciiTheme="minorHAnsi" w:hAnsiTheme="minorHAnsi" w:cstheme="minorHAnsi"/>
                <w:sz w:val="24"/>
                <w:szCs w:val="24"/>
                <w:lang w:val="en-GB"/>
              </w:rPr>
            </w:pPr>
            <w:r>
              <w:rPr>
                <w:rFonts w:asciiTheme="minorHAnsi" w:hAnsiTheme="minorHAnsi" w:cstheme="minorHAnsi"/>
                <w:sz w:val="24"/>
                <w:szCs w:val="24"/>
                <w:lang w:val="en-GB"/>
              </w:rPr>
              <w:t>Up to €34</w:t>
            </w:r>
            <w:r w:rsidR="00152720" w:rsidRPr="009233BB">
              <w:rPr>
                <w:rFonts w:asciiTheme="minorHAnsi" w:hAnsiTheme="minorHAnsi" w:cstheme="minorHAnsi"/>
                <w:sz w:val="24"/>
                <w:szCs w:val="24"/>
                <w:lang w:val="en-GB"/>
              </w:rPr>
              <w:t>,</w:t>
            </w:r>
            <w:r>
              <w:rPr>
                <w:rFonts w:asciiTheme="minorHAnsi" w:hAnsiTheme="minorHAnsi" w:cstheme="minorHAnsi"/>
                <w:sz w:val="24"/>
                <w:szCs w:val="24"/>
                <w:lang w:val="en-GB"/>
              </w:rPr>
              <w:t>132</w:t>
            </w:r>
          </w:p>
        </w:tc>
        <w:tc>
          <w:tcPr>
            <w:tcW w:w="2428" w:type="dxa"/>
            <w:tcBorders>
              <w:top w:val="single" w:sz="4" w:space="0" w:color="auto"/>
              <w:left w:val="single" w:sz="4" w:space="0" w:color="auto"/>
              <w:bottom w:val="single" w:sz="4" w:space="0" w:color="auto"/>
              <w:right w:val="single" w:sz="4" w:space="0" w:color="auto"/>
            </w:tcBorders>
            <w:hideMark/>
          </w:tcPr>
          <w:p w:rsidR="00152720" w:rsidRPr="009233BB" w:rsidRDefault="00152720" w:rsidP="00152720">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0A49A1" w:rsidRPr="009233BB" w:rsidTr="00822F86">
        <w:tc>
          <w:tcPr>
            <w:tcW w:w="7508" w:type="dxa"/>
            <w:gridSpan w:val="2"/>
            <w:tcBorders>
              <w:top w:val="single" w:sz="4" w:space="0" w:color="auto"/>
              <w:left w:val="single" w:sz="4" w:space="0" w:color="auto"/>
              <w:bottom w:val="single" w:sz="4" w:space="0" w:color="auto"/>
              <w:right w:val="single" w:sz="4" w:space="0" w:color="auto"/>
            </w:tcBorders>
            <w:hideMark/>
          </w:tcPr>
          <w:p w:rsidR="000A49A1" w:rsidRPr="000A49A1" w:rsidRDefault="000A49A1" w:rsidP="00B70910">
            <w:pPr>
              <w:contextualSpacing/>
              <w:jc w:val="center"/>
              <w:rPr>
                <w:rFonts w:asciiTheme="minorHAnsi" w:hAnsiTheme="minorHAnsi" w:cstheme="minorHAnsi"/>
                <w:lang w:val="en-GB"/>
              </w:rPr>
            </w:pPr>
            <w:r>
              <w:rPr>
                <w:rFonts w:asciiTheme="minorHAnsi" w:hAnsiTheme="minorHAnsi" w:cstheme="minorHAnsi"/>
                <w:lang w:val="en-GB"/>
              </w:rPr>
              <w:t>(</w:t>
            </w:r>
            <w:r w:rsidRPr="000A49A1">
              <w:rPr>
                <w:rFonts w:asciiTheme="minorHAnsi" w:hAnsiTheme="minorHAnsi" w:cstheme="minorHAnsi"/>
                <w:lang w:val="en-GB"/>
              </w:rPr>
              <w:t xml:space="preserve">PSPR is effectively eliminated for Group </w:t>
            </w:r>
            <w:r w:rsidR="00B70910">
              <w:rPr>
                <w:rFonts w:asciiTheme="minorHAnsi" w:hAnsiTheme="minorHAnsi" w:cstheme="minorHAnsi"/>
                <w:lang w:val="en-GB"/>
              </w:rPr>
              <w:t>1</w:t>
            </w:r>
            <w:r w:rsidRPr="000A49A1">
              <w:rPr>
                <w:rFonts w:asciiTheme="minorHAnsi" w:hAnsiTheme="minorHAnsi" w:cstheme="minorHAnsi"/>
                <w:lang w:val="en-GB"/>
              </w:rPr>
              <w:t xml:space="preserve"> pensions from 1 January 2018.</w:t>
            </w:r>
            <w:r>
              <w:rPr>
                <w:rFonts w:asciiTheme="minorHAnsi" w:hAnsiTheme="minorHAnsi" w:cstheme="minorHAnsi"/>
                <w:lang w:val="en-GB"/>
              </w:rPr>
              <w:t>)</w:t>
            </w:r>
            <w:r w:rsidRPr="000A49A1">
              <w:rPr>
                <w:rFonts w:asciiTheme="minorHAnsi" w:hAnsiTheme="minorHAnsi" w:cstheme="minorHAnsi"/>
                <w:lang w:val="en-GB"/>
              </w:rPr>
              <w:t xml:space="preserve"> </w:t>
            </w:r>
          </w:p>
        </w:tc>
      </w:tr>
    </w:tbl>
    <w:p w:rsidR="00152720" w:rsidRDefault="00152720" w:rsidP="00152720">
      <w:pPr>
        <w:contextualSpacing/>
        <w:jc w:val="both"/>
        <w:rPr>
          <w:rFonts w:asciiTheme="minorHAnsi" w:hAnsiTheme="minorHAnsi" w:cstheme="minorHAnsi"/>
        </w:rPr>
      </w:pPr>
    </w:p>
    <w:p w:rsidR="004568FE" w:rsidRDefault="004568FE" w:rsidP="00152720">
      <w:pPr>
        <w:contextualSpacing/>
        <w:jc w:val="both"/>
        <w:rPr>
          <w:rFonts w:asciiTheme="minorHAnsi" w:hAnsiTheme="minorHAnsi" w:cstheme="minorHAnsi"/>
          <w:b/>
        </w:rPr>
      </w:pPr>
    </w:p>
    <w:p w:rsidR="0005412F" w:rsidRDefault="004A0F62" w:rsidP="00152720">
      <w:pPr>
        <w:contextualSpacing/>
        <w:jc w:val="both"/>
        <w:rPr>
          <w:rFonts w:asciiTheme="minorHAnsi" w:hAnsiTheme="minorHAnsi" w:cstheme="minorHAnsi"/>
        </w:rPr>
      </w:pPr>
      <w:r w:rsidRPr="004A0F62">
        <w:rPr>
          <w:rFonts w:asciiTheme="minorHAnsi" w:hAnsiTheme="minorHAnsi" w:cstheme="minorHAnsi"/>
          <w:b/>
        </w:rPr>
        <w:t>Application</w:t>
      </w:r>
      <w:r w:rsidR="0005412F">
        <w:rPr>
          <w:rFonts w:asciiTheme="minorHAnsi" w:hAnsiTheme="minorHAnsi" w:cstheme="minorHAnsi"/>
          <w:b/>
        </w:rPr>
        <w:t xml:space="preserve"> of above </w:t>
      </w:r>
      <w:r w:rsidR="00260650">
        <w:rPr>
          <w:rFonts w:asciiTheme="minorHAnsi" w:hAnsiTheme="minorHAnsi" w:cstheme="minorHAnsi"/>
          <w:b/>
        </w:rPr>
        <w:t xml:space="preserve">Group </w:t>
      </w:r>
      <w:r w:rsidR="008469B6">
        <w:rPr>
          <w:rFonts w:asciiTheme="minorHAnsi" w:hAnsiTheme="minorHAnsi" w:cstheme="minorHAnsi"/>
          <w:b/>
        </w:rPr>
        <w:t>1</w:t>
      </w:r>
      <w:r w:rsidR="00260650">
        <w:rPr>
          <w:rFonts w:asciiTheme="minorHAnsi" w:hAnsiTheme="minorHAnsi" w:cstheme="minorHAnsi"/>
          <w:b/>
        </w:rPr>
        <w:t xml:space="preserve"> </w:t>
      </w:r>
      <w:r w:rsidR="0005412F">
        <w:rPr>
          <w:rFonts w:asciiTheme="minorHAnsi" w:hAnsiTheme="minorHAnsi" w:cstheme="minorHAnsi"/>
          <w:b/>
        </w:rPr>
        <w:t>tables</w:t>
      </w:r>
      <w:r w:rsidRPr="004A0F62">
        <w:rPr>
          <w:rFonts w:asciiTheme="minorHAnsi" w:hAnsiTheme="minorHAnsi" w:cstheme="minorHAnsi"/>
          <w:b/>
        </w:rPr>
        <w:t>:</w:t>
      </w:r>
      <w:r>
        <w:rPr>
          <w:rFonts w:asciiTheme="minorHAnsi" w:hAnsiTheme="minorHAnsi" w:cstheme="minorHAnsi"/>
        </w:rPr>
        <w:t xml:space="preserve"> </w:t>
      </w:r>
    </w:p>
    <w:p w:rsidR="0005412F" w:rsidRDefault="0005412F" w:rsidP="00152720">
      <w:pPr>
        <w:contextualSpacing/>
        <w:jc w:val="both"/>
        <w:rPr>
          <w:rFonts w:asciiTheme="minorHAnsi" w:hAnsiTheme="minorHAnsi" w:cstheme="minorHAnsi"/>
        </w:rPr>
      </w:pPr>
    </w:p>
    <w:p w:rsidR="004A0F62" w:rsidRDefault="0005412F" w:rsidP="00152720">
      <w:pPr>
        <w:contextualSpacing/>
        <w:jc w:val="both"/>
        <w:rPr>
          <w:rFonts w:asciiTheme="minorHAnsi" w:hAnsiTheme="minorHAnsi" w:cstheme="minorHAnsi"/>
        </w:rPr>
      </w:pPr>
      <w:r>
        <w:rPr>
          <w:rFonts w:asciiTheme="minorHAnsi" w:hAnsiTheme="minorHAnsi" w:cstheme="minorHAnsi"/>
        </w:rPr>
        <w:lastRenderedPageBreak/>
        <w:t>T</w:t>
      </w:r>
      <w:r w:rsidR="004A0F62">
        <w:rPr>
          <w:rFonts w:asciiTheme="minorHAnsi" w:hAnsiTheme="minorHAnsi" w:cstheme="minorHAnsi"/>
        </w:rPr>
        <w:t>he</w:t>
      </w:r>
      <w:r>
        <w:rPr>
          <w:rFonts w:asciiTheme="minorHAnsi" w:hAnsiTheme="minorHAnsi" w:cstheme="minorHAnsi"/>
        </w:rPr>
        <w:t>se</w:t>
      </w:r>
      <w:r w:rsidR="004A0F62">
        <w:rPr>
          <w:rFonts w:asciiTheme="minorHAnsi" w:hAnsiTheme="minorHAnsi" w:cstheme="minorHAnsi"/>
        </w:rPr>
        <w:t xml:space="preserve"> tables above </w:t>
      </w:r>
      <w:r w:rsidR="00565D5B">
        <w:rPr>
          <w:rFonts w:asciiTheme="minorHAnsi" w:hAnsiTheme="minorHAnsi" w:cstheme="minorHAnsi"/>
        </w:rPr>
        <w:t>should</w:t>
      </w:r>
      <w:r w:rsidR="004A0F62">
        <w:rPr>
          <w:rFonts w:asciiTheme="minorHAnsi" w:hAnsiTheme="minorHAnsi" w:cstheme="minorHAnsi"/>
        </w:rPr>
        <w:t xml:space="preserve"> be applied exactly as written for all Group </w:t>
      </w:r>
      <w:r w:rsidR="008469B6">
        <w:rPr>
          <w:rFonts w:asciiTheme="minorHAnsi" w:hAnsiTheme="minorHAnsi" w:cstheme="minorHAnsi"/>
        </w:rPr>
        <w:t>1</w:t>
      </w:r>
      <w:r w:rsidR="004A0F62">
        <w:rPr>
          <w:rFonts w:asciiTheme="minorHAnsi" w:hAnsiTheme="minorHAnsi" w:cstheme="minorHAnsi"/>
        </w:rPr>
        <w:t xml:space="preserve"> pensions.</w:t>
      </w:r>
    </w:p>
    <w:p w:rsidR="004568FE" w:rsidRDefault="004568FE" w:rsidP="00875A19">
      <w:pPr>
        <w:contextualSpacing/>
        <w:jc w:val="both"/>
        <w:rPr>
          <w:rFonts w:asciiTheme="minorHAnsi" w:hAnsiTheme="minorHAnsi" w:cstheme="minorHAnsi"/>
          <w:b/>
        </w:rPr>
      </w:pPr>
    </w:p>
    <w:p w:rsidR="00875A19" w:rsidRPr="008469B6" w:rsidRDefault="00DC735D" w:rsidP="00875A19">
      <w:pPr>
        <w:contextualSpacing/>
        <w:jc w:val="both"/>
        <w:rPr>
          <w:rFonts w:asciiTheme="minorHAnsi" w:hAnsiTheme="minorHAnsi" w:cstheme="minorHAnsi"/>
          <w:b/>
          <w:u w:val="single"/>
        </w:rPr>
      </w:pPr>
      <w:r w:rsidRPr="00DC735D">
        <w:rPr>
          <w:rFonts w:asciiTheme="minorHAnsi" w:hAnsiTheme="minorHAnsi" w:cstheme="minorHAnsi"/>
          <w:b/>
        </w:rPr>
        <w:t>(ii)</w:t>
      </w:r>
      <w:r w:rsidRPr="00DC735D">
        <w:rPr>
          <w:rFonts w:asciiTheme="minorHAnsi" w:hAnsiTheme="minorHAnsi" w:cstheme="minorHAnsi"/>
          <w:b/>
        </w:rPr>
        <w:tab/>
      </w:r>
      <w:r w:rsidR="00875A19" w:rsidRPr="008469B6">
        <w:rPr>
          <w:rFonts w:asciiTheme="minorHAnsi" w:hAnsiTheme="minorHAnsi" w:cstheme="minorHAnsi"/>
          <w:b/>
          <w:u w:val="single"/>
        </w:rPr>
        <w:t xml:space="preserve">Group 2: Pre-March 2012 pensions greater than €34,132 (before PSPR) </w:t>
      </w:r>
    </w:p>
    <w:p w:rsidR="00B220E8" w:rsidRDefault="00B220E8" w:rsidP="00152720">
      <w:pPr>
        <w:contextualSpacing/>
        <w:jc w:val="both"/>
        <w:rPr>
          <w:rFonts w:asciiTheme="minorHAnsi" w:hAnsiTheme="minorHAnsi" w:cstheme="minorHAnsi"/>
        </w:rPr>
      </w:pPr>
    </w:p>
    <w:p w:rsidR="00F770E3" w:rsidRDefault="00F770E3" w:rsidP="00F770E3">
      <w:pPr>
        <w:contextualSpacing/>
        <w:jc w:val="both"/>
        <w:rPr>
          <w:rFonts w:asciiTheme="minorHAnsi" w:hAnsiTheme="minorHAnsi" w:cstheme="minorHAnsi"/>
        </w:rPr>
      </w:pPr>
      <w:r>
        <w:rPr>
          <w:rFonts w:asciiTheme="minorHAnsi" w:hAnsiTheme="minorHAnsi" w:cstheme="minorHAnsi"/>
        </w:rPr>
        <w:t>1 January 2016:</w:t>
      </w:r>
    </w:p>
    <w:tbl>
      <w:tblPr>
        <w:tblStyle w:val="TableGrid"/>
        <w:tblW w:w="0" w:type="auto"/>
        <w:tblLook w:val="01E0" w:firstRow="1" w:lastRow="1" w:firstColumn="1" w:lastColumn="1" w:noHBand="0" w:noVBand="0"/>
      </w:tblPr>
      <w:tblGrid>
        <w:gridCol w:w="5080"/>
        <w:gridCol w:w="2428"/>
      </w:tblGrid>
      <w:tr w:rsidR="000A49A1"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0A49A1" w:rsidRPr="009233BB" w:rsidRDefault="00C311E5"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TABLE A</w:t>
            </w:r>
            <w:r w:rsidR="00624FC8">
              <w:rPr>
                <w:rFonts w:asciiTheme="minorHAnsi" w:hAnsiTheme="minorHAnsi" w:cstheme="minorHAnsi"/>
                <w:b/>
                <w:sz w:val="24"/>
                <w:szCs w:val="24"/>
                <w:lang w:val="en-GB"/>
              </w:rPr>
              <w:t>2</w:t>
            </w:r>
            <w:r w:rsidR="00DC735D">
              <w:rPr>
                <w:rFonts w:asciiTheme="minorHAnsi" w:hAnsiTheme="minorHAnsi" w:cstheme="minorHAnsi"/>
                <w:b/>
                <w:sz w:val="24"/>
                <w:szCs w:val="24"/>
                <w:lang w:val="en-GB"/>
              </w:rPr>
              <w:t xml:space="preserve"> (Group 2)</w:t>
            </w:r>
            <w:r>
              <w:rPr>
                <w:rFonts w:asciiTheme="minorHAnsi" w:hAnsiTheme="minorHAnsi" w:cstheme="minorHAnsi"/>
                <w:b/>
                <w:sz w:val="24"/>
                <w:szCs w:val="24"/>
                <w:lang w:val="en-GB"/>
              </w:rPr>
              <w:t>:</w:t>
            </w:r>
            <w:r w:rsidR="000A49A1" w:rsidRPr="009233BB">
              <w:rPr>
                <w:rFonts w:asciiTheme="minorHAnsi" w:hAnsiTheme="minorHAnsi" w:cstheme="minorHAnsi"/>
                <w:b/>
                <w:sz w:val="24"/>
                <w:szCs w:val="24"/>
                <w:lang w:val="en-GB"/>
              </w:rPr>
              <w:t xml:space="preserve"> </w:t>
            </w:r>
            <w:r>
              <w:rPr>
                <w:rFonts w:asciiTheme="minorHAnsi" w:hAnsiTheme="minorHAnsi" w:cstheme="minorHAnsi"/>
                <w:b/>
                <w:sz w:val="24"/>
                <w:szCs w:val="24"/>
                <w:lang w:val="en-GB"/>
              </w:rPr>
              <w:t xml:space="preserve">PSPR  </w:t>
            </w:r>
            <w:r w:rsidR="000A49A1">
              <w:rPr>
                <w:rFonts w:asciiTheme="minorHAnsi" w:hAnsiTheme="minorHAnsi" w:cstheme="minorHAnsi"/>
                <w:b/>
                <w:sz w:val="24"/>
                <w:szCs w:val="24"/>
                <w:lang w:val="en-GB"/>
              </w:rPr>
              <w:t xml:space="preserve">from </w:t>
            </w:r>
            <w:r w:rsidR="000A49A1" w:rsidRPr="000A49A1">
              <w:rPr>
                <w:rFonts w:asciiTheme="minorHAnsi" w:hAnsiTheme="minorHAnsi" w:cstheme="minorHAnsi"/>
                <w:b/>
                <w:sz w:val="24"/>
                <w:szCs w:val="24"/>
                <w:lang w:val="en-GB"/>
              </w:rPr>
              <w:t>1 January 2016 to 31 December 2016</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0A49A1">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€1</w:t>
            </w:r>
            <w:r>
              <w:rPr>
                <w:rFonts w:asciiTheme="minorHAnsi" w:hAnsiTheme="minorHAnsi" w:cstheme="minorHAnsi"/>
                <w:sz w:val="24"/>
                <w:szCs w:val="24"/>
                <w:lang w:val="en-GB"/>
              </w:rPr>
              <w:t>7</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0A49A1">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w:t>
            </w:r>
            <w:r>
              <w:rPr>
                <w:rFonts w:asciiTheme="minorHAnsi" w:hAnsiTheme="minorHAnsi" w:cstheme="minorHAnsi"/>
                <w:sz w:val="24"/>
                <w:szCs w:val="24"/>
                <w:lang w:val="en-GB"/>
              </w:rPr>
              <w:t>7</w:t>
            </w:r>
            <w:r w:rsidRPr="009233BB">
              <w:rPr>
                <w:rFonts w:asciiTheme="minorHAnsi" w:hAnsiTheme="minorHAnsi" w:cstheme="minorHAnsi"/>
                <w:sz w:val="24"/>
                <w:szCs w:val="24"/>
                <w:lang w:val="en-GB"/>
              </w:rPr>
              <w:t>,000 but not over €24,000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8%</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€24,000 but not over €60,000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12%</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1</w:t>
            </w:r>
            <w:r>
              <w:rPr>
                <w:rFonts w:asciiTheme="minorHAnsi" w:hAnsiTheme="minorHAnsi" w:cstheme="minorHAnsi"/>
                <w:sz w:val="24"/>
                <w:szCs w:val="24"/>
                <w:lang w:val="en-GB"/>
              </w:rPr>
              <w:t>7%</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2</w:t>
            </w:r>
            <w:r>
              <w:rPr>
                <w:rFonts w:asciiTheme="minorHAnsi" w:hAnsiTheme="minorHAnsi" w:cstheme="minorHAnsi"/>
                <w:sz w:val="24"/>
                <w:szCs w:val="24"/>
                <w:lang w:val="en-GB"/>
              </w:rPr>
              <w:t>8%</w:t>
            </w:r>
          </w:p>
        </w:tc>
      </w:tr>
    </w:tbl>
    <w:p w:rsidR="009F5BD4" w:rsidRDefault="009F5BD4" w:rsidP="004A0F62">
      <w:pPr>
        <w:contextualSpacing/>
        <w:jc w:val="both"/>
        <w:rPr>
          <w:rFonts w:asciiTheme="minorHAnsi" w:hAnsiTheme="minorHAnsi" w:cstheme="minorHAnsi"/>
        </w:rPr>
      </w:pPr>
    </w:p>
    <w:p w:rsidR="00F770E3" w:rsidRDefault="00F770E3" w:rsidP="00F770E3">
      <w:pPr>
        <w:contextualSpacing/>
        <w:jc w:val="both"/>
        <w:rPr>
          <w:rFonts w:asciiTheme="minorHAnsi" w:hAnsiTheme="minorHAnsi" w:cstheme="minorHAnsi"/>
        </w:rPr>
      </w:pPr>
      <w:r>
        <w:rPr>
          <w:rFonts w:asciiTheme="minorHAnsi" w:hAnsiTheme="minorHAnsi" w:cstheme="minorHAnsi"/>
        </w:rPr>
        <w:t>1 January 2017:</w:t>
      </w:r>
    </w:p>
    <w:tbl>
      <w:tblPr>
        <w:tblStyle w:val="TableGrid"/>
        <w:tblW w:w="0" w:type="auto"/>
        <w:tblLook w:val="01E0" w:firstRow="1" w:lastRow="1" w:firstColumn="1" w:lastColumn="1" w:noHBand="0" w:noVBand="0"/>
      </w:tblPr>
      <w:tblGrid>
        <w:gridCol w:w="5080"/>
        <w:gridCol w:w="2428"/>
      </w:tblGrid>
      <w:tr w:rsidR="00EF4BB0"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EF4BB0" w:rsidRPr="009233BB" w:rsidRDefault="00EF4BB0"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TABLE B</w:t>
            </w:r>
            <w:r w:rsidR="00624FC8">
              <w:rPr>
                <w:rFonts w:asciiTheme="minorHAnsi" w:hAnsiTheme="minorHAnsi" w:cstheme="minorHAnsi"/>
                <w:b/>
                <w:sz w:val="24"/>
                <w:szCs w:val="24"/>
                <w:lang w:val="en-GB"/>
              </w:rPr>
              <w:t>2</w:t>
            </w:r>
            <w:r>
              <w:rPr>
                <w:rFonts w:asciiTheme="minorHAnsi" w:hAnsiTheme="minorHAnsi" w:cstheme="minorHAnsi"/>
                <w:b/>
                <w:sz w:val="24"/>
                <w:szCs w:val="24"/>
                <w:lang w:val="en-GB"/>
              </w:rPr>
              <w:t xml:space="preserve"> (Group 2): </w:t>
            </w:r>
            <w:r w:rsidRPr="009233BB">
              <w:rPr>
                <w:rFonts w:asciiTheme="minorHAnsi" w:hAnsiTheme="minorHAnsi" w:cstheme="minorHAnsi"/>
                <w:b/>
                <w:sz w:val="24"/>
                <w:szCs w:val="24"/>
                <w:lang w:val="en-GB"/>
              </w:rPr>
              <w:t xml:space="preserve">PSPR </w:t>
            </w:r>
            <w:r>
              <w:rPr>
                <w:rFonts w:asciiTheme="minorHAnsi" w:hAnsiTheme="minorHAnsi" w:cstheme="minorHAnsi"/>
                <w:b/>
                <w:sz w:val="24"/>
                <w:szCs w:val="24"/>
                <w:lang w:val="en-GB"/>
              </w:rPr>
              <w:t xml:space="preserve">from </w:t>
            </w:r>
            <w:r w:rsidRPr="000A49A1">
              <w:rPr>
                <w:rFonts w:asciiTheme="minorHAnsi" w:hAnsiTheme="minorHAnsi" w:cstheme="minorHAnsi"/>
                <w:b/>
                <w:sz w:val="24"/>
                <w:szCs w:val="24"/>
                <w:lang w:val="en-GB"/>
              </w:rPr>
              <w:t>1 January 201</w:t>
            </w:r>
            <w:r>
              <w:rPr>
                <w:rFonts w:asciiTheme="minorHAnsi" w:hAnsiTheme="minorHAnsi" w:cstheme="minorHAnsi"/>
                <w:b/>
                <w:sz w:val="24"/>
                <w:szCs w:val="24"/>
                <w:lang w:val="en-GB"/>
              </w:rPr>
              <w:t>7 to 31 December 2017</w:t>
            </w:r>
          </w:p>
        </w:tc>
      </w:tr>
      <w:tr w:rsidR="00EF4BB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EF4BB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w:t>
            </w:r>
            <w:r>
              <w:rPr>
                <w:rFonts w:asciiTheme="minorHAnsi" w:hAnsiTheme="minorHAnsi" w:cstheme="minorHAnsi"/>
                <w:sz w:val="24"/>
                <w:szCs w:val="24"/>
                <w:lang w:val="en-GB"/>
              </w:rPr>
              <w:t>22</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EF4BB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w:t>
            </w:r>
            <w:r>
              <w:rPr>
                <w:rFonts w:asciiTheme="minorHAnsi" w:hAnsiTheme="minorHAnsi" w:cstheme="minorHAnsi"/>
                <w:sz w:val="24"/>
                <w:szCs w:val="24"/>
                <w:lang w:val="en-GB"/>
              </w:rPr>
              <w:t>22</w:t>
            </w:r>
            <w:r w:rsidRPr="009233BB">
              <w:rPr>
                <w:rFonts w:asciiTheme="minorHAnsi" w:hAnsiTheme="minorHAnsi" w:cstheme="minorHAnsi"/>
                <w:sz w:val="24"/>
                <w:szCs w:val="24"/>
                <w:lang w:val="en-GB"/>
              </w:rPr>
              <w:t>,000 but not over €</w:t>
            </w:r>
            <w:r>
              <w:rPr>
                <w:rFonts w:asciiTheme="minorHAnsi" w:hAnsiTheme="minorHAnsi" w:cstheme="minorHAnsi"/>
                <w:sz w:val="24"/>
                <w:szCs w:val="24"/>
                <w:lang w:val="en-GB"/>
              </w:rPr>
              <w:t>24</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3%</w:t>
            </w:r>
          </w:p>
        </w:tc>
      </w:tr>
      <w:tr w:rsidR="00EF4BB0" w:rsidRPr="009233BB" w:rsidTr="00822F86">
        <w:tc>
          <w:tcPr>
            <w:tcW w:w="5080" w:type="dxa"/>
            <w:tcBorders>
              <w:top w:val="single" w:sz="4" w:space="0" w:color="auto"/>
              <w:left w:val="single" w:sz="4" w:space="0" w:color="auto"/>
              <w:bottom w:val="single" w:sz="4" w:space="0" w:color="auto"/>
              <w:right w:val="single" w:sz="4" w:space="0" w:color="auto"/>
            </w:tcBorders>
          </w:tcPr>
          <w:p w:rsidR="00EF4BB0" w:rsidRPr="009233BB" w:rsidRDefault="00EF4BB0" w:rsidP="00647A27">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w:t>
            </w:r>
            <w:r>
              <w:rPr>
                <w:rFonts w:asciiTheme="minorHAnsi" w:hAnsiTheme="minorHAnsi" w:cstheme="minorHAnsi"/>
                <w:sz w:val="24"/>
                <w:szCs w:val="24"/>
                <w:lang w:val="en-GB"/>
              </w:rPr>
              <w:t>24</w:t>
            </w:r>
            <w:r w:rsidRPr="009233BB">
              <w:rPr>
                <w:rFonts w:asciiTheme="minorHAnsi" w:hAnsiTheme="minorHAnsi" w:cstheme="minorHAnsi"/>
                <w:sz w:val="24"/>
                <w:szCs w:val="24"/>
                <w:lang w:val="en-GB"/>
              </w:rPr>
              <w:t>,000 but not over €</w:t>
            </w:r>
            <w:r>
              <w:rPr>
                <w:rFonts w:asciiTheme="minorHAnsi" w:hAnsiTheme="minorHAnsi" w:cstheme="minorHAnsi"/>
                <w:sz w:val="24"/>
                <w:szCs w:val="24"/>
                <w:lang w:val="en-GB"/>
              </w:rPr>
              <w:t>60</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tcPr>
          <w:p w:rsidR="00EF4BB0" w:rsidRPr="009233BB" w:rsidRDefault="00EF4BB0" w:rsidP="00647A27">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12%</w:t>
            </w:r>
          </w:p>
        </w:tc>
      </w:tr>
      <w:tr w:rsidR="00EF4BB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1</w:t>
            </w:r>
            <w:r>
              <w:rPr>
                <w:rFonts w:asciiTheme="minorHAnsi" w:hAnsiTheme="minorHAnsi" w:cstheme="minorHAnsi"/>
                <w:sz w:val="24"/>
                <w:szCs w:val="24"/>
                <w:lang w:val="en-GB"/>
              </w:rPr>
              <w:t>7%</w:t>
            </w:r>
          </w:p>
        </w:tc>
      </w:tr>
      <w:tr w:rsidR="00EF4BB0"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EF4BB0" w:rsidRPr="009233BB" w:rsidRDefault="00EF4BB0" w:rsidP="00647A27">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2</w:t>
            </w:r>
            <w:r>
              <w:rPr>
                <w:rFonts w:asciiTheme="minorHAnsi" w:hAnsiTheme="minorHAnsi" w:cstheme="minorHAnsi"/>
                <w:sz w:val="24"/>
                <w:szCs w:val="24"/>
                <w:lang w:val="en-GB"/>
              </w:rPr>
              <w:t>8%</w:t>
            </w:r>
          </w:p>
        </w:tc>
      </w:tr>
    </w:tbl>
    <w:p w:rsidR="00EF4BB0" w:rsidRDefault="00EF4BB0" w:rsidP="00EF4BB0">
      <w:pPr>
        <w:contextualSpacing/>
        <w:jc w:val="both"/>
        <w:rPr>
          <w:rFonts w:asciiTheme="minorHAnsi" w:hAnsiTheme="minorHAnsi" w:cstheme="minorHAnsi"/>
        </w:rPr>
      </w:pPr>
    </w:p>
    <w:p w:rsidR="00F770E3" w:rsidRDefault="00F770E3" w:rsidP="00F770E3">
      <w:pPr>
        <w:contextualSpacing/>
        <w:jc w:val="both"/>
        <w:rPr>
          <w:rFonts w:asciiTheme="minorHAnsi" w:hAnsiTheme="minorHAnsi" w:cstheme="minorHAnsi"/>
        </w:rPr>
      </w:pPr>
      <w:r>
        <w:rPr>
          <w:rFonts w:asciiTheme="minorHAnsi" w:hAnsiTheme="minorHAnsi" w:cstheme="minorHAnsi"/>
        </w:rPr>
        <w:t>1 January 2018:</w:t>
      </w:r>
    </w:p>
    <w:tbl>
      <w:tblPr>
        <w:tblStyle w:val="TableGrid"/>
        <w:tblW w:w="0" w:type="auto"/>
        <w:tblLook w:val="01E0" w:firstRow="1" w:lastRow="1" w:firstColumn="1" w:lastColumn="1" w:noHBand="0" w:noVBand="0"/>
      </w:tblPr>
      <w:tblGrid>
        <w:gridCol w:w="5080"/>
        <w:gridCol w:w="2428"/>
      </w:tblGrid>
      <w:tr w:rsidR="000A49A1" w:rsidRPr="009233BB" w:rsidTr="00822F86">
        <w:tc>
          <w:tcPr>
            <w:tcW w:w="7508" w:type="dxa"/>
            <w:gridSpan w:val="2"/>
            <w:tcBorders>
              <w:top w:val="single" w:sz="4" w:space="0" w:color="auto"/>
              <w:left w:val="single" w:sz="4" w:space="0" w:color="auto"/>
              <w:bottom w:val="single" w:sz="4" w:space="0" w:color="auto"/>
              <w:right w:val="single" w:sz="4" w:space="0" w:color="auto"/>
            </w:tcBorders>
          </w:tcPr>
          <w:p w:rsidR="000A49A1" w:rsidRPr="009233BB" w:rsidRDefault="00DC735D"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TABLE C</w:t>
            </w:r>
            <w:r w:rsidR="00624FC8">
              <w:rPr>
                <w:rFonts w:asciiTheme="minorHAnsi" w:hAnsiTheme="minorHAnsi" w:cstheme="minorHAnsi"/>
                <w:b/>
                <w:sz w:val="24"/>
                <w:szCs w:val="24"/>
                <w:lang w:val="en-GB"/>
              </w:rPr>
              <w:t>2</w:t>
            </w:r>
            <w:r>
              <w:rPr>
                <w:rFonts w:asciiTheme="minorHAnsi" w:hAnsiTheme="minorHAnsi" w:cstheme="minorHAnsi"/>
                <w:b/>
                <w:sz w:val="24"/>
                <w:szCs w:val="24"/>
                <w:lang w:val="en-GB"/>
              </w:rPr>
              <w:t xml:space="preserve"> (Group 2): </w:t>
            </w:r>
            <w:r w:rsidR="000A49A1" w:rsidRPr="009233BB">
              <w:rPr>
                <w:rFonts w:asciiTheme="minorHAnsi" w:hAnsiTheme="minorHAnsi" w:cstheme="minorHAnsi"/>
                <w:b/>
                <w:sz w:val="24"/>
                <w:szCs w:val="24"/>
                <w:lang w:val="en-GB"/>
              </w:rPr>
              <w:t xml:space="preserve">PSPR </w:t>
            </w:r>
            <w:r w:rsidR="000A49A1">
              <w:rPr>
                <w:rFonts w:asciiTheme="minorHAnsi" w:hAnsiTheme="minorHAnsi" w:cstheme="minorHAnsi"/>
                <w:b/>
                <w:sz w:val="24"/>
                <w:szCs w:val="24"/>
                <w:lang w:val="en-GB"/>
              </w:rPr>
              <w:t xml:space="preserve">from </w:t>
            </w:r>
            <w:r w:rsidR="000A49A1" w:rsidRPr="000A49A1">
              <w:rPr>
                <w:rFonts w:asciiTheme="minorHAnsi" w:hAnsiTheme="minorHAnsi" w:cstheme="minorHAnsi"/>
                <w:b/>
                <w:sz w:val="24"/>
                <w:szCs w:val="24"/>
                <w:lang w:val="en-GB"/>
              </w:rPr>
              <w:t>1 January 201</w:t>
            </w:r>
            <w:r w:rsidR="000A49A1">
              <w:rPr>
                <w:rFonts w:asciiTheme="minorHAnsi" w:hAnsiTheme="minorHAnsi" w:cstheme="minorHAnsi"/>
                <w:b/>
                <w:sz w:val="24"/>
                <w:szCs w:val="24"/>
                <w:lang w:val="en-GB"/>
              </w:rPr>
              <w:t>8</w:t>
            </w:r>
            <w:r w:rsidR="000A49A1" w:rsidRPr="009233BB">
              <w:rPr>
                <w:rFonts w:asciiTheme="minorHAnsi" w:hAnsiTheme="minorHAnsi" w:cstheme="minorHAnsi"/>
                <w:b/>
                <w:sz w:val="24"/>
                <w:szCs w:val="24"/>
                <w:lang w:val="en-GB"/>
              </w:rPr>
              <w:t xml:space="preserve"> </w:t>
            </w:r>
            <w:r w:rsidR="007D6550">
              <w:rPr>
                <w:rFonts w:asciiTheme="minorHAnsi" w:hAnsiTheme="minorHAnsi" w:cstheme="minorHAnsi"/>
                <w:b/>
                <w:sz w:val="24"/>
                <w:szCs w:val="24"/>
                <w:lang w:val="en-GB"/>
              </w:rPr>
              <w:t>onwards</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0A49A1">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w:t>
            </w:r>
            <w:r>
              <w:rPr>
                <w:rFonts w:asciiTheme="minorHAnsi" w:hAnsiTheme="minorHAnsi" w:cstheme="minorHAnsi"/>
                <w:sz w:val="24"/>
                <w:szCs w:val="24"/>
                <w:lang w:val="en-GB"/>
              </w:rPr>
              <w:t>30</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0A49A1">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w:t>
            </w:r>
            <w:r>
              <w:rPr>
                <w:rFonts w:asciiTheme="minorHAnsi" w:hAnsiTheme="minorHAnsi" w:cstheme="minorHAnsi"/>
                <w:sz w:val="24"/>
                <w:szCs w:val="24"/>
                <w:lang w:val="en-GB"/>
              </w:rPr>
              <w:t>30</w:t>
            </w:r>
            <w:r w:rsidRPr="009233BB">
              <w:rPr>
                <w:rFonts w:asciiTheme="minorHAnsi" w:hAnsiTheme="minorHAnsi" w:cstheme="minorHAnsi"/>
                <w:sz w:val="24"/>
                <w:szCs w:val="24"/>
                <w:lang w:val="en-GB"/>
              </w:rPr>
              <w:t>,000 but not over €60,000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12%</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1</w:t>
            </w:r>
            <w:r>
              <w:rPr>
                <w:rFonts w:asciiTheme="minorHAnsi" w:hAnsiTheme="minorHAnsi" w:cstheme="minorHAnsi"/>
                <w:sz w:val="24"/>
                <w:szCs w:val="24"/>
                <w:lang w:val="en-GB"/>
              </w:rPr>
              <w:t>7%</w:t>
            </w:r>
          </w:p>
        </w:tc>
      </w:tr>
      <w:tr w:rsidR="000A49A1" w:rsidRPr="009233BB" w:rsidTr="00822F86">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2</w:t>
            </w:r>
            <w:r>
              <w:rPr>
                <w:rFonts w:asciiTheme="minorHAnsi" w:hAnsiTheme="minorHAnsi" w:cstheme="minorHAnsi"/>
                <w:sz w:val="24"/>
                <w:szCs w:val="24"/>
                <w:lang w:val="en-GB"/>
              </w:rPr>
              <w:t>8%</w:t>
            </w:r>
          </w:p>
        </w:tc>
      </w:tr>
    </w:tbl>
    <w:p w:rsidR="005670FA" w:rsidRDefault="005670FA" w:rsidP="00550A7B">
      <w:pPr>
        <w:contextualSpacing/>
        <w:jc w:val="both"/>
        <w:rPr>
          <w:rFonts w:asciiTheme="minorHAnsi" w:hAnsiTheme="minorHAnsi" w:cstheme="minorHAnsi"/>
          <w:b/>
        </w:rPr>
      </w:pPr>
    </w:p>
    <w:p w:rsidR="005670FA" w:rsidRDefault="005670FA" w:rsidP="00550A7B">
      <w:pPr>
        <w:contextualSpacing/>
        <w:jc w:val="both"/>
        <w:rPr>
          <w:rFonts w:asciiTheme="minorHAnsi" w:hAnsiTheme="minorHAnsi" w:cstheme="minorHAnsi"/>
          <w:b/>
        </w:rPr>
      </w:pPr>
    </w:p>
    <w:p w:rsidR="0005412F" w:rsidRDefault="0005412F" w:rsidP="00550A7B">
      <w:pPr>
        <w:contextualSpacing/>
        <w:jc w:val="both"/>
        <w:rPr>
          <w:rFonts w:asciiTheme="minorHAnsi" w:hAnsiTheme="minorHAnsi" w:cstheme="minorHAnsi"/>
          <w:b/>
        </w:rPr>
      </w:pPr>
      <w:r w:rsidRPr="004A0F62">
        <w:rPr>
          <w:rFonts w:asciiTheme="minorHAnsi" w:hAnsiTheme="minorHAnsi" w:cstheme="minorHAnsi"/>
          <w:b/>
        </w:rPr>
        <w:t>Application</w:t>
      </w:r>
      <w:r>
        <w:rPr>
          <w:rFonts w:asciiTheme="minorHAnsi" w:hAnsiTheme="minorHAnsi" w:cstheme="minorHAnsi"/>
          <w:b/>
        </w:rPr>
        <w:t xml:space="preserve"> of above </w:t>
      </w:r>
      <w:r w:rsidR="00260650">
        <w:rPr>
          <w:rFonts w:asciiTheme="minorHAnsi" w:hAnsiTheme="minorHAnsi" w:cstheme="minorHAnsi"/>
          <w:b/>
        </w:rPr>
        <w:t xml:space="preserve">Group 2 </w:t>
      </w:r>
      <w:r>
        <w:rPr>
          <w:rFonts w:asciiTheme="minorHAnsi" w:hAnsiTheme="minorHAnsi" w:cstheme="minorHAnsi"/>
          <w:b/>
        </w:rPr>
        <w:t>tables</w:t>
      </w:r>
      <w:r w:rsidRPr="004A0F62">
        <w:rPr>
          <w:rFonts w:asciiTheme="minorHAnsi" w:hAnsiTheme="minorHAnsi" w:cstheme="minorHAnsi"/>
          <w:b/>
        </w:rPr>
        <w:t>:</w:t>
      </w:r>
    </w:p>
    <w:p w:rsidR="0005412F" w:rsidRDefault="0005412F" w:rsidP="00550A7B">
      <w:pPr>
        <w:contextualSpacing/>
        <w:jc w:val="both"/>
        <w:rPr>
          <w:rFonts w:asciiTheme="minorHAnsi" w:hAnsiTheme="minorHAnsi" w:cstheme="minorHAnsi"/>
          <w:b/>
        </w:rPr>
      </w:pPr>
    </w:p>
    <w:p w:rsidR="00B220E8" w:rsidRDefault="00550A7B" w:rsidP="00B220E8">
      <w:pPr>
        <w:contextualSpacing/>
        <w:jc w:val="both"/>
        <w:rPr>
          <w:rFonts w:asciiTheme="minorHAnsi" w:hAnsiTheme="minorHAnsi" w:cstheme="minorHAnsi"/>
        </w:rPr>
      </w:pPr>
      <w:r>
        <w:rPr>
          <w:rFonts w:asciiTheme="minorHAnsi" w:hAnsiTheme="minorHAnsi" w:cstheme="minorHAnsi"/>
        </w:rPr>
        <w:t>The</w:t>
      </w:r>
      <w:r w:rsidR="0005412F">
        <w:rPr>
          <w:rFonts w:asciiTheme="minorHAnsi" w:hAnsiTheme="minorHAnsi" w:cstheme="minorHAnsi"/>
        </w:rPr>
        <w:t>se</w:t>
      </w:r>
      <w:r>
        <w:rPr>
          <w:rFonts w:asciiTheme="minorHAnsi" w:hAnsiTheme="minorHAnsi" w:cstheme="minorHAnsi"/>
        </w:rPr>
        <w:t xml:space="preserve"> tables should be applied exactly as w</w:t>
      </w:r>
      <w:r w:rsidR="00D84BBD">
        <w:rPr>
          <w:rFonts w:asciiTheme="minorHAnsi" w:hAnsiTheme="minorHAnsi" w:cstheme="minorHAnsi"/>
        </w:rPr>
        <w:t xml:space="preserve">ritten for all Group 2 pensions, </w:t>
      </w:r>
      <w:r w:rsidR="00D84BBD" w:rsidRPr="00B220E8">
        <w:rPr>
          <w:rFonts w:asciiTheme="minorHAnsi" w:hAnsiTheme="minorHAnsi" w:cstheme="minorHAnsi"/>
          <w:b/>
        </w:rPr>
        <w:t>except</w:t>
      </w:r>
      <w:r w:rsidR="00D84BBD">
        <w:rPr>
          <w:rFonts w:asciiTheme="minorHAnsi" w:hAnsiTheme="minorHAnsi" w:cstheme="minorHAnsi"/>
        </w:rPr>
        <w:t xml:space="preserve"> that in a </w:t>
      </w:r>
      <w:r w:rsidR="00D84BBD" w:rsidRPr="00D652AB">
        <w:rPr>
          <w:rFonts w:asciiTheme="minorHAnsi" w:hAnsiTheme="minorHAnsi" w:cstheme="minorHAnsi"/>
          <w:b/>
        </w:rPr>
        <w:t>small number of cases</w:t>
      </w:r>
      <w:r w:rsidR="00D84BBD">
        <w:rPr>
          <w:rFonts w:asciiTheme="minorHAnsi" w:hAnsiTheme="minorHAnsi" w:cstheme="minorHAnsi"/>
        </w:rPr>
        <w:t xml:space="preserve"> </w:t>
      </w:r>
      <w:r w:rsidRPr="00586BB6">
        <w:rPr>
          <w:rFonts w:asciiTheme="minorHAnsi" w:hAnsiTheme="minorHAnsi" w:cstheme="minorHAnsi"/>
        </w:rPr>
        <w:t xml:space="preserve">the post-PSPR value </w:t>
      </w:r>
      <w:r w:rsidR="007D6550">
        <w:rPr>
          <w:rFonts w:asciiTheme="minorHAnsi" w:hAnsiTheme="minorHAnsi" w:cstheme="minorHAnsi"/>
        </w:rPr>
        <w:t>obtained</w:t>
      </w:r>
      <w:r w:rsidR="00D84BBD">
        <w:rPr>
          <w:rFonts w:asciiTheme="minorHAnsi" w:hAnsiTheme="minorHAnsi" w:cstheme="minorHAnsi"/>
        </w:rPr>
        <w:t xml:space="preserve"> by application of </w:t>
      </w:r>
      <w:r w:rsidR="007D6550">
        <w:rPr>
          <w:rFonts w:asciiTheme="minorHAnsi" w:hAnsiTheme="minorHAnsi" w:cstheme="minorHAnsi"/>
        </w:rPr>
        <w:t>a</w:t>
      </w:r>
      <w:r w:rsidR="00D84BBD">
        <w:rPr>
          <w:rFonts w:asciiTheme="minorHAnsi" w:hAnsiTheme="minorHAnsi" w:cstheme="minorHAnsi"/>
        </w:rPr>
        <w:t xml:space="preserve"> table </w:t>
      </w:r>
      <w:r w:rsidR="00CD5A23">
        <w:rPr>
          <w:rFonts w:asciiTheme="minorHAnsi" w:hAnsiTheme="minorHAnsi" w:cstheme="minorHAnsi"/>
        </w:rPr>
        <w:t xml:space="preserve">must be </w:t>
      </w:r>
      <w:r w:rsidR="0005412F">
        <w:rPr>
          <w:rFonts w:asciiTheme="minorHAnsi" w:hAnsiTheme="minorHAnsi" w:cstheme="minorHAnsi"/>
        </w:rPr>
        <w:t xml:space="preserve">given a </w:t>
      </w:r>
      <w:r w:rsidR="0005412F" w:rsidRPr="00260650">
        <w:rPr>
          <w:rFonts w:asciiTheme="minorHAnsi" w:hAnsiTheme="minorHAnsi" w:cstheme="minorHAnsi"/>
          <w:b/>
        </w:rPr>
        <w:t>special increase</w:t>
      </w:r>
      <w:r w:rsidR="00D84BBD">
        <w:rPr>
          <w:rFonts w:asciiTheme="minorHAnsi" w:hAnsiTheme="minorHAnsi" w:cstheme="minorHAnsi"/>
          <w:b/>
        </w:rPr>
        <w:t>.</w:t>
      </w:r>
      <w:r w:rsidR="00B220E8">
        <w:rPr>
          <w:rFonts w:asciiTheme="minorHAnsi" w:hAnsiTheme="minorHAnsi" w:cstheme="minorHAnsi"/>
          <w:b/>
        </w:rPr>
        <w:t xml:space="preserve"> </w:t>
      </w:r>
      <w:r w:rsidR="00B220E8" w:rsidRPr="00B220E8">
        <w:rPr>
          <w:rFonts w:asciiTheme="minorHAnsi" w:hAnsiTheme="minorHAnsi" w:cstheme="minorHAnsi"/>
        </w:rPr>
        <w:t xml:space="preserve">This only </w:t>
      </w:r>
      <w:r w:rsidR="007D6550">
        <w:rPr>
          <w:rFonts w:asciiTheme="minorHAnsi" w:hAnsiTheme="minorHAnsi" w:cstheme="minorHAnsi"/>
        </w:rPr>
        <w:t>arise</w:t>
      </w:r>
      <w:r w:rsidR="00CD5A23">
        <w:rPr>
          <w:rFonts w:asciiTheme="minorHAnsi" w:hAnsiTheme="minorHAnsi" w:cstheme="minorHAnsi"/>
        </w:rPr>
        <w:t>s</w:t>
      </w:r>
      <w:r w:rsidR="00B220E8">
        <w:rPr>
          <w:rFonts w:asciiTheme="minorHAnsi" w:hAnsiTheme="minorHAnsi" w:cstheme="minorHAnsi"/>
          <w:b/>
        </w:rPr>
        <w:t xml:space="preserve"> </w:t>
      </w:r>
      <w:r w:rsidR="00B220E8">
        <w:rPr>
          <w:rFonts w:asciiTheme="minorHAnsi" w:hAnsiTheme="minorHAnsi" w:cstheme="minorHAnsi"/>
        </w:rPr>
        <w:t xml:space="preserve">for the following </w:t>
      </w:r>
      <w:r w:rsidR="00B220E8" w:rsidRPr="00B220E8">
        <w:rPr>
          <w:rFonts w:asciiTheme="minorHAnsi" w:hAnsiTheme="minorHAnsi" w:cstheme="minorHAnsi"/>
        </w:rPr>
        <w:t>narrow ranges of pre-PSPR pension value:</w:t>
      </w:r>
    </w:p>
    <w:p w:rsidR="00B220E8" w:rsidRDefault="000B4F9A" w:rsidP="00447D17">
      <w:pPr>
        <w:pStyle w:val="ListParagraph"/>
        <w:numPr>
          <w:ilvl w:val="0"/>
          <w:numId w:val="3"/>
        </w:numPr>
        <w:jc w:val="both"/>
        <w:rPr>
          <w:rFonts w:asciiTheme="minorHAnsi" w:hAnsiTheme="minorHAnsi" w:cstheme="minorHAnsi"/>
        </w:rPr>
      </w:pPr>
      <w:r>
        <w:rPr>
          <w:rFonts w:asciiTheme="minorHAnsi" w:hAnsiTheme="minorHAnsi" w:cstheme="minorHAnsi"/>
        </w:rPr>
        <w:t>F</w:t>
      </w:r>
      <w:r w:rsidRPr="00B70910">
        <w:rPr>
          <w:rFonts w:asciiTheme="minorHAnsi" w:hAnsiTheme="minorHAnsi" w:cstheme="minorHAnsi"/>
        </w:rPr>
        <w:t>rom 1 January 2016</w:t>
      </w:r>
      <w:r>
        <w:rPr>
          <w:rFonts w:asciiTheme="minorHAnsi" w:hAnsiTheme="minorHAnsi" w:cstheme="minorHAnsi"/>
        </w:rPr>
        <w:t xml:space="preserve"> – </w:t>
      </w:r>
      <w:r w:rsidR="003E27DF">
        <w:rPr>
          <w:rFonts w:asciiTheme="minorHAnsi" w:hAnsiTheme="minorHAnsi" w:cstheme="minorHAnsi"/>
        </w:rPr>
        <w:t>Table A</w:t>
      </w:r>
      <w:r w:rsidR="005E79A9">
        <w:rPr>
          <w:rFonts w:asciiTheme="minorHAnsi" w:hAnsiTheme="minorHAnsi" w:cstheme="minorHAnsi"/>
        </w:rPr>
        <w:t>2</w:t>
      </w:r>
      <w:r w:rsidR="003E27DF">
        <w:rPr>
          <w:rFonts w:asciiTheme="minorHAnsi" w:hAnsiTheme="minorHAnsi" w:cstheme="minorHAnsi"/>
        </w:rPr>
        <w:t xml:space="preserve"> (Group 2):</w:t>
      </w:r>
      <w:r w:rsidR="003E27DF">
        <w:rPr>
          <w:rFonts w:asciiTheme="minorHAnsi" w:hAnsiTheme="minorHAnsi" w:cstheme="minorHAnsi"/>
        </w:rPr>
        <w:tab/>
      </w:r>
      <w:r w:rsidR="004568FE">
        <w:rPr>
          <w:rFonts w:asciiTheme="minorHAnsi" w:hAnsiTheme="minorHAnsi" w:cstheme="minorHAnsi"/>
        </w:rPr>
        <w:t>O</w:t>
      </w:r>
      <w:r w:rsidR="00543CA3">
        <w:rPr>
          <w:rFonts w:asciiTheme="minorHAnsi" w:hAnsiTheme="minorHAnsi" w:cstheme="minorHAnsi"/>
        </w:rPr>
        <w:t xml:space="preserve">ver </w:t>
      </w:r>
      <w:r w:rsidR="00B220E8" w:rsidRPr="00B70910">
        <w:rPr>
          <w:rFonts w:asciiTheme="minorHAnsi" w:hAnsiTheme="minorHAnsi" w:cstheme="minorHAnsi"/>
        </w:rPr>
        <w:t>€34,13</w:t>
      </w:r>
      <w:r w:rsidR="00130B20">
        <w:rPr>
          <w:rFonts w:asciiTheme="minorHAnsi" w:hAnsiTheme="minorHAnsi" w:cstheme="minorHAnsi"/>
        </w:rPr>
        <w:t>2</w:t>
      </w:r>
      <w:r w:rsidR="00B220E8" w:rsidRPr="00B70910">
        <w:rPr>
          <w:rFonts w:asciiTheme="minorHAnsi" w:hAnsiTheme="minorHAnsi" w:cstheme="minorHAnsi"/>
        </w:rPr>
        <w:t xml:space="preserve"> up to €34,75</w:t>
      </w:r>
      <w:r w:rsidR="00543CA3">
        <w:rPr>
          <w:rFonts w:asciiTheme="minorHAnsi" w:hAnsiTheme="minorHAnsi" w:cstheme="minorHAnsi"/>
        </w:rPr>
        <w:t>3</w:t>
      </w:r>
    </w:p>
    <w:p w:rsidR="00B220E8" w:rsidRDefault="000B4F9A" w:rsidP="00447D17">
      <w:pPr>
        <w:pStyle w:val="ListParagraph"/>
        <w:numPr>
          <w:ilvl w:val="0"/>
          <w:numId w:val="3"/>
        </w:numPr>
        <w:jc w:val="both"/>
        <w:rPr>
          <w:rFonts w:asciiTheme="minorHAnsi" w:hAnsiTheme="minorHAnsi" w:cstheme="minorHAnsi"/>
        </w:rPr>
      </w:pPr>
      <w:r>
        <w:rPr>
          <w:rFonts w:asciiTheme="minorHAnsi" w:hAnsiTheme="minorHAnsi" w:cstheme="minorHAnsi"/>
        </w:rPr>
        <w:t>F</w:t>
      </w:r>
      <w:r w:rsidRPr="00B70910">
        <w:rPr>
          <w:rFonts w:asciiTheme="minorHAnsi" w:hAnsiTheme="minorHAnsi" w:cstheme="minorHAnsi"/>
        </w:rPr>
        <w:t>rom 1 January 201</w:t>
      </w:r>
      <w:r>
        <w:rPr>
          <w:rFonts w:asciiTheme="minorHAnsi" w:hAnsiTheme="minorHAnsi" w:cstheme="minorHAnsi"/>
        </w:rPr>
        <w:t xml:space="preserve">7  – </w:t>
      </w:r>
      <w:r w:rsidR="00B220E8" w:rsidRPr="00B70910">
        <w:rPr>
          <w:rFonts w:asciiTheme="minorHAnsi" w:hAnsiTheme="minorHAnsi" w:cstheme="minorHAnsi"/>
        </w:rPr>
        <w:t>Table B</w:t>
      </w:r>
      <w:r w:rsidR="005E79A9">
        <w:rPr>
          <w:rFonts w:asciiTheme="minorHAnsi" w:hAnsiTheme="minorHAnsi" w:cstheme="minorHAnsi"/>
        </w:rPr>
        <w:t>2</w:t>
      </w:r>
      <w:r>
        <w:rPr>
          <w:rFonts w:asciiTheme="minorHAnsi" w:hAnsiTheme="minorHAnsi" w:cstheme="minorHAnsi"/>
        </w:rPr>
        <w:t xml:space="preserve"> (Group 2)</w:t>
      </w:r>
      <w:r w:rsidR="003E27DF">
        <w:rPr>
          <w:rFonts w:asciiTheme="minorHAnsi" w:hAnsiTheme="minorHAnsi" w:cstheme="minorHAnsi"/>
        </w:rPr>
        <w:t xml:space="preserve">: </w:t>
      </w:r>
      <w:r w:rsidR="003E27DF">
        <w:rPr>
          <w:rFonts w:asciiTheme="minorHAnsi" w:hAnsiTheme="minorHAnsi" w:cstheme="minorHAnsi"/>
        </w:rPr>
        <w:tab/>
      </w:r>
      <w:r w:rsidR="004568FE">
        <w:rPr>
          <w:rFonts w:asciiTheme="minorHAnsi" w:hAnsiTheme="minorHAnsi" w:cstheme="minorHAnsi"/>
        </w:rPr>
        <w:t>O</w:t>
      </w:r>
      <w:r w:rsidR="00543CA3">
        <w:rPr>
          <w:rFonts w:asciiTheme="minorHAnsi" w:hAnsiTheme="minorHAnsi" w:cstheme="minorHAnsi"/>
        </w:rPr>
        <w:t xml:space="preserve">ver </w:t>
      </w:r>
      <w:r w:rsidR="00B220E8">
        <w:rPr>
          <w:rFonts w:asciiTheme="minorHAnsi" w:hAnsiTheme="minorHAnsi" w:cstheme="minorHAnsi"/>
        </w:rPr>
        <w:t>€34,1</w:t>
      </w:r>
      <w:r w:rsidR="00B65341">
        <w:rPr>
          <w:rFonts w:asciiTheme="minorHAnsi" w:hAnsiTheme="minorHAnsi" w:cstheme="minorHAnsi"/>
        </w:rPr>
        <w:t>3</w:t>
      </w:r>
      <w:r w:rsidR="00130B20">
        <w:rPr>
          <w:rFonts w:asciiTheme="minorHAnsi" w:hAnsiTheme="minorHAnsi" w:cstheme="minorHAnsi"/>
        </w:rPr>
        <w:t>2</w:t>
      </w:r>
      <w:r w:rsidR="00B220E8">
        <w:rPr>
          <w:rFonts w:asciiTheme="minorHAnsi" w:hAnsiTheme="minorHAnsi" w:cstheme="minorHAnsi"/>
        </w:rPr>
        <w:t xml:space="preserve"> up to €34,75</w:t>
      </w:r>
      <w:r w:rsidR="003E27DF">
        <w:rPr>
          <w:rFonts w:asciiTheme="minorHAnsi" w:hAnsiTheme="minorHAnsi" w:cstheme="minorHAnsi"/>
        </w:rPr>
        <w:t>0</w:t>
      </w:r>
    </w:p>
    <w:p w:rsidR="00B220E8" w:rsidRPr="00B70910" w:rsidRDefault="00350EAE" w:rsidP="00447D17">
      <w:pPr>
        <w:pStyle w:val="ListParagraph"/>
        <w:numPr>
          <w:ilvl w:val="0"/>
          <w:numId w:val="3"/>
        </w:numPr>
        <w:jc w:val="both"/>
        <w:rPr>
          <w:rFonts w:asciiTheme="minorHAnsi" w:hAnsiTheme="minorHAnsi" w:cstheme="minorHAnsi"/>
        </w:rPr>
      </w:pPr>
      <w:r>
        <w:rPr>
          <w:rFonts w:asciiTheme="minorHAnsi" w:hAnsiTheme="minorHAnsi" w:cstheme="minorHAnsi"/>
        </w:rPr>
        <w:t>F</w:t>
      </w:r>
      <w:r w:rsidR="00B220E8" w:rsidRPr="00B70910">
        <w:rPr>
          <w:rFonts w:asciiTheme="minorHAnsi" w:hAnsiTheme="minorHAnsi" w:cstheme="minorHAnsi"/>
        </w:rPr>
        <w:t>rom 1 January 2018</w:t>
      </w:r>
      <w:r>
        <w:rPr>
          <w:rFonts w:asciiTheme="minorHAnsi" w:hAnsiTheme="minorHAnsi" w:cstheme="minorHAnsi"/>
        </w:rPr>
        <w:t xml:space="preserve"> – </w:t>
      </w:r>
      <w:r w:rsidRPr="00B70910">
        <w:rPr>
          <w:rFonts w:asciiTheme="minorHAnsi" w:hAnsiTheme="minorHAnsi" w:cstheme="minorHAnsi"/>
        </w:rPr>
        <w:t>Table C</w:t>
      </w:r>
      <w:r w:rsidR="005E79A9">
        <w:rPr>
          <w:rFonts w:asciiTheme="minorHAnsi" w:hAnsiTheme="minorHAnsi" w:cstheme="minorHAnsi"/>
        </w:rPr>
        <w:t>2</w:t>
      </w:r>
      <w:r w:rsidRPr="00B70910">
        <w:rPr>
          <w:rFonts w:asciiTheme="minorHAnsi" w:hAnsiTheme="minorHAnsi" w:cstheme="minorHAnsi"/>
        </w:rPr>
        <w:t xml:space="preserve"> (Group 2)</w:t>
      </w:r>
      <w:r w:rsidR="003E27DF">
        <w:rPr>
          <w:rFonts w:asciiTheme="minorHAnsi" w:hAnsiTheme="minorHAnsi" w:cstheme="minorHAnsi"/>
        </w:rPr>
        <w:t>:</w:t>
      </w:r>
      <w:r w:rsidR="003E27DF">
        <w:rPr>
          <w:rFonts w:asciiTheme="minorHAnsi" w:hAnsiTheme="minorHAnsi" w:cstheme="minorHAnsi"/>
        </w:rPr>
        <w:tab/>
      </w:r>
      <w:r w:rsidR="004568FE">
        <w:rPr>
          <w:rFonts w:asciiTheme="minorHAnsi" w:hAnsiTheme="minorHAnsi" w:cstheme="minorHAnsi"/>
        </w:rPr>
        <w:t>O</w:t>
      </w:r>
      <w:r w:rsidR="00543CA3">
        <w:rPr>
          <w:rFonts w:asciiTheme="minorHAnsi" w:hAnsiTheme="minorHAnsi" w:cstheme="minorHAnsi"/>
        </w:rPr>
        <w:t xml:space="preserve">ver </w:t>
      </w:r>
      <w:r w:rsidR="00130B20">
        <w:rPr>
          <w:rFonts w:asciiTheme="minorHAnsi" w:hAnsiTheme="minorHAnsi" w:cstheme="minorHAnsi"/>
        </w:rPr>
        <w:t>€34,132</w:t>
      </w:r>
      <w:r w:rsidR="00B220E8" w:rsidRPr="00B70910">
        <w:rPr>
          <w:rFonts w:asciiTheme="minorHAnsi" w:hAnsiTheme="minorHAnsi" w:cstheme="minorHAnsi"/>
        </w:rPr>
        <w:t xml:space="preserve"> up to €34,695</w:t>
      </w:r>
    </w:p>
    <w:p w:rsidR="00D84BBD" w:rsidRDefault="00D84BBD" w:rsidP="00550A7B">
      <w:pPr>
        <w:contextualSpacing/>
        <w:jc w:val="both"/>
        <w:rPr>
          <w:rFonts w:asciiTheme="minorHAnsi" w:hAnsiTheme="minorHAnsi" w:cstheme="minorHAnsi"/>
          <w:b/>
        </w:rPr>
      </w:pPr>
    </w:p>
    <w:p w:rsidR="003F5266" w:rsidRDefault="00D84BBD" w:rsidP="00550A7B">
      <w:pPr>
        <w:contextualSpacing/>
        <w:jc w:val="both"/>
        <w:rPr>
          <w:rFonts w:asciiTheme="minorHAnsi" w:hAnsiTheme="minorHAnsi" w:cstheme="minorHAnsi"/>
        </w:rPr>
      </w:pPr>
      <w:r w:rsidRPr="00D84BBD">
        <w:rPr>
          <w:rFonts w:asciiTheme="minorHAnsi" w:hAnsiTheme="minorHAnsi" w:cstheme="minorHAnsi"/>
        </w:rPr>
        <w:t xml:space="preserve">This </w:t>
      </w:r>
      <w:r>
        <w:rPr>
          <w:rFonts w:asciiTheme="minorHAnsi" w:hAnsiTheme="minorHAnsi" w:cstheme="minorHAnsi"/>
          <w:b/>
        </w:rPr>
        <w:t xml:space="preserve">special increase </w:t>
      </w:r>
      <w:r w:rsidR="00AC1266" w:rsidRPr="00AC1266">
        <w:rPr>
          <w:rFonts w:asciiTheme="minorHAnsi" w:hAnsiTheme="minorHAnsi" w:cstheme="minorHAnsi"/>
        </w:rPr>
        <w:t>a</w:t>
      </w:r>
      <w:r w:rsidR="005670FA">
        <w:rPr>
          <w:rFonts w:asciiTheme="minorHAnsi" w:hAnsiTheme="minorHAnsi" w:cstheme="minorHAnsi"/>
        </w:rPr>
        <w:t>rises</w:t>
      </w:r>
      <w:r w:rsidR="00AC1266">
        <w:rPr>
          <w:rFonts w:asciiTheme="minorHAnsi" w:hAnsiTheme="minorHAnsi" w:cstheme="minorHAnsi"/>
          <w:b/>
        </w:rPr>
        <w:t xml:space="preserve"> </w:t>
      </w:r>
      <w:r w:rsidR="00B31858">
        <w:rPr>
          <w:rFonts w:asciiTheme="minorHAnsi" w:hAnsiTheme="minorHAnsi" w:cstheme="minorHAnsi"/>
        </w:rPr>
        <w:t xml:space="preserve">only </w:t>
      </w:r>
      <w:r>
        <w:rPr>
          <w:rFonts w:asciiTheme="minorHAnsi" w:hAnsiTheme="minorHAnsi" w:cstheme="minorHAnsi"/>
        </w:rPr>
        <w:t xml:space="preserve">where </w:t>
      </w:r>
      <w:r w:rsidR="005670FA">
        <w:rPr>
          <w:rFonts w:asciiTheme="minorHAnsi" w:hAnsiTheme="minorHAnsi" w:cstheme="minorHAnsi"/>
        </w:rPr>
        <w:t xml:space="preserve">applying </w:t>
      </w:r>
      <w:r w:rsidR="00AC1266">
        <w:rPr>
          <w:rFonts w:asciiTheme="minorHAnsi" w:hAnsiTheme="minorHAnsi" w:cstheme="minorHAnsi"/>
        </w:rPr>
        <w:t xml:space="preserve">a </w:t>
      </w:r>
      <w:r w:rsidR="00B220E8">
        <w:rPr>
          <w:rFonts w:asciiTheme="minorHAnsi" w:hAnsiTheme="minorHAnsi" w:cstheme="minorHAnsi"/>
        </w:rPr>
        <w:t xml:space="preserve">Group 2 </w:t>
      </w:r>
      <w:r>
        <w:rPr>
          <w:rFonts w:asciiTheme="minorHAnsi" w:hAnsiTheme="minorHAnsi" w:cstheme="minorHAnsi"/>
        </w:rPr>
        <w:t xml:space="preserve">table </w:t>
      </w:r>
      <w:r w:rsidR="005670FA">
        <w:rPr>
          <w:rFonts w:asciiTheme="minorHAnsi" w:hAnsiTheme="minorHAnsi" w:cstheme="minorHAnsi"/>
        </w:rPr>
        <w:t>gives</w:t>
      </w:r>
      <w:r w:rsidR="00AC1266">
        <w:rPr>
          <w:rFonts w:asciiTheme="minorHAnsi" w:hAnsiTheme="minorHAnsi" w:cstheme="minorHAnsi"/>
        </w:rPr>
        <w:t xml:space="preserve"> </w:t>
      </w:r>
      <w:r>
        <w:rPr>
          <w:rFonts w:asciiTheme="minorHAnsi" w:hAnsiTheme="minorHAnsi" w:cstheme="minorHAnsi"/>
        </w:rPr>
        <w:t xml:space="preserve">a post-PSPR value lower than </w:t>
      </w:r>
      <w:r w:rsidR="00550A7B" w:rsidRPr="00586BB6">
        <w:rPr>
          <w:rFonts w:asciiTheme="minorHAnsi" w:hAnsiTheme="minorHAnsi" w:cstheme="minorHAnsi"/>
        </w:rPr>
        <w:t xml:space="preserve">the </w:t>
      </w:r>
      <w:r w:rsidR="00CD5A23">
        <w:rPr>
          <w:rFonts w:asciiTheme="minorHAnsi" w:hAnsiTheme="minorHAnsi" w:cstheme="minorHAnsi"/>
        </w:rPr>
        <w:t>same-year</w:t>
      </w:r>
      <w:r w:rsidR="00B65341">
        <w:rPr>
          <w:rFonts w:asciiTheme="minorHAnsi" w:hAnsiTheme="minorHAnsi" w:cstheme="minorHAnsi"/>
        </w:rPr>
        <w:t xml:space="preserve"> </w:t>
      </w:r>
      <w:r w:rsidR="00550A7B" w:rsidRPr="00586BB6">
        <w:rPr>
          <w:rFonts w:asciiTheme="minorHAnsi" w:hAnsiTheme="minorHAnsi" w:cstheme="minorHAnsi"/>
        </w:rPr>
        <w:t>post-PSPR value of the highest Group 1 pension</w:t>
      </w:r>
      <w:r w:rsidR="00AE00D3">
        <w:rPr>
          <w:rFonts w:asciiTheme="minorHAnsi" w:hAnsiTheme="minorHAnsi" w:cstheme="minorHAnsi"/>
        </w:rPr>
        <w:t xml:space="preserve"> (€34,132 before PSPR)</w:t>
      </w:r>
      <w:r w:rsidR="00550A7B" w:rsidRPr="00586BB6">
        <w:rPr>
          <w:rFonts w:asciiTheme="minorHAnsi" w:hAnsiTheme="minorHAnsi" w:cstheme="minorHAnsi"/>
        </w:rPr>
        <w:t xml:space="preserve">. </w:t>
      </w:r>
      <w:r w:rsidR="009F5BD4">
        <w:rPr>
          <w:rFonts w:asciiTheme="minorHAnsi" w:hAnsiTheme="minorHAnsi" w:cstheme="minorHAnsi"/>
        </w:rPr>
        <w:t xml:space="preserve">The </w:t>
      </w:r>
      <w:r w:rsidR="00A837D0">
        <w:rPr>
          <w:rFonts w:asciiTheme="minorHAnsi" w:hAnsiTheme="minorHAnsi" w:cstheme="minorHAnsi"/>
        </w:rPr>
        <w:t xml:space="preserve">extent of the </w:t>
      </w:r>
      <w:r w:rsidR="00AE00D3" w:rsidRPr="00D652AB">
        <w:rPr>
          <w:rFonts w:asciiTheme="minorHAnsi" w:hAnsiTheme="minorHAnsi" w:cstheme="minorHAnsi"/>
          <w:b/>
        </w:rPr>
        <w:t xml:space="preserve">special </w:t>
      </w:r>
      <w:r w:rsidR="009F5BD4" w:rsidRPr="00D652AB">
        <w:rPr>
          <w:rFonts w:asciiTheme="minorHAnsi" w:hAnsiTheme="minorHAnsi" w:cstheme="minorHAnsi"/>
          <w:b/>
        </w:rPr>
        <w:t>increase</w:t>
      </w:r>
      <w:r w:rsidR="00B31858">
        <w:rPr>
          <w:rFonts w:asciiTheme="minorHAnsi" w:hAnsiTheme="minorHAnsi" w:cstheme="minorHAnsi"/>
          <w:b/>
        </w:rPr>
        <w:t xml:space="preserve"> is the extra </w:t>
      </w:r>
      <w:r w:rsidR="00AC1266">
        <w:rPr>
          <w:rFonts w:asciiTheme="minorHAnsi" w:hAnsiTheme="minorHAnsi" w:cstheme="minorHAnsi"/>
          <w:b/>
        </w:rPr>
        <w:t>amount</w:t>
      </w:r>
      <w:r w:rsidR="00B31858">
        <w:rPr>
          <w:rFonts w:asciiTheme="minorHAnsi" w:hAnsiTheme="minorHAnsi" w:cstheme="minorHAnsi"/>
          <w:b/>
        </w:rPr>
        <w:t xml:space="preserve">, in excess of </w:t>
      </w:r>
      <w:r w:rsidR="00B31858" w:rsidRPr="00B31858">
        <w:rPr>
          <w:rFonts w:asciiTheme="minorHAnsi" w:hAnsiTheme="minorHAnsi" w:cstheme="minorHAnsi"/>
          <w:b/>
        </w:rPr>
        <w:t>the value obtained via the table</w:t>
      </w:r>
      <w:r w:rsidR="00B31858">
        <w:rPr>
          <w:rFonts w:asciiTheme="minorHAnsi" w:hAnsiTheme="minorHAnsi" w:cstheme="minorHAnsi"/>
          <w:b/>
        </w:rPr>
        <w:t xml:space="preserve">, </w:t>
      </w:r>
      <w:r w:rsidR="005E79A9">
        <w:rPr>
          <w:rFonts w:asciiTheme="minorHAnsi" w:hAnsiTheme="minorHAnsi" w:cstheme="minorHAnsi"/>
          <w:b/>
        </w:rPr>
        <w:t>needed to make</w:t>
      </w:r>
      <w:r w:rsidR="00B31858">
        <w:rPr>
          <w:rFonts w:asciiTheme="minorHAnsi" w:hAnsiTheme="minorHAnsi" w:cstheme="minorHAnsi"/>
          <w:b/>
        </w:rPr>
        <w:t xml:space="preserve"> </w:t>
      </w:r>
      <w:r w:rsidR="00A837D0" w:rsidRPr="0005412F">
        <w:rPr>
          <w:rFonts w:asciiTheme="minorHAnsi" w:hAnsiTheme="minorHAnsi" w:cstheme="minorHAnsi"/>
          <w:b/>
        </w:rPr>
        <w:t xml:space="preserve">the </w:t>
      </w:r>
      <w:r w:rsidR="00AE00D3" w:rsidRPr="0005412F">
        <w:rPr>
          <w:rFonts w:asciiTheme="minorHAnsi" w:hAnsiTheme="minorHAnsi" w:cstheme="minorHAnsi"/>
          <w:b/>
        </w:rPr>
        <w:t xml:space="preserve">pension’s </w:t>
      </w:r>
      <w:r w:rsidR="009F5BD4" w:rsidRPr="0005412F">
        <w:rPr>
          <w:rFonts w:asciiTheme="minorHAnsi" w:hAnsiTheme="minorHAnsi" w:cstheme="minorHAnsi"/>
          <w:b/>
        </w:rPr>
        <w:t xml:space="preserve">post-PSPR value equal to the </w:t>
      </w:r>
      <w:r w:rsidR="003F5266" w:rsidRPr="0005412F">
        <w:rPr>
          <w:rFonts w:asciiTheme="minorHAnsi" w:hAnsiTheme="minorHAnsi" w:cstheme="minorHAnsi"/>
          <w:b/>
        </w:rPr>
        <w:t xml:space="preserve">post-PSPR value of the </w:t>
      </w:r>
      <w:r w:rsidR="009F5BD4" w:rsidRPr="0005412F">
        <w:rPr>
          <w:rFonts w:asciiTheme="minorHAnsi" w:hAnsiTheme="minorHAnsi" w:cstheme="minorHAnsi"/>
          <w:b/>
        </w:rPr>
        <w:t>highest Group 1 pension</w:t>
      </w:r>
      <w:r w:rsidR="003F5266" w:rsidRPr="0005412F">
        <w:rPr>
          <w:rFonts w:asciiTheme="minorHAnsi" w:hAnsiTheme="minorHAnsi" w:cstheme="minorHAnsi"/>
          <w:b/>
        </w:rPr>
        <w:t>.</w:t>
      </w:r>
      <w:r w:rsidR="00B31858" w:rsidRPr="00B31858">
        <w:rPr>
          <w:rFonts w:asciiTheme="minorHAnsi" w:hAnsiTheme="minorHAnsi" w:cstheme="minorHAnsi"/>
        </w:rPr>
        <w:t xml:space="preserve"> </w:t>
      </w:r>
      <w:r w:rsidR="00B31858">
        <w:rPr>
          <w:rFonts w:asciiTheme="minorHAnsi" w:hAnsiTheme="minorHAnsi" w:cstheme="minorHAnsi"/>
        </w:rPr>
        <w:t xml:space="preserve">In this way the special increase, in the small </w:t>
      </w:r>
      <w:r w:rsidR="00AC1266">
        <w:rPr>
          <w:rFonts w:asciiTheme="minorHAnsi" w:hAnsiTheme="minorHAnsi" w:cstheme="minorHAnsi"/>
        </w:rPr>
        <w:lastRenderedPageBreak/>
        <w:t xml:space="preserve">proportion of </w:t>
      </w:r>
      <w:r w:rsidR="00B31858">
        <w:rPr>
          <w:rFonts w:asciiTheme="minorHAnsi" w:hAnsiTheme="minorHAnsi" w:cstheme="minorHAnsi"/>
        </w:rPr>
        <w:t>cases where it arises, ensures that a</w:t>
      </w:r>
      <w:r w:rsidR="00AC1266">
        <w:rPr>
          <w:rFonts w:asciiTheme="minorHAnsi" w:hAnsiTheme="minorHAnsi" w:cstheme="minorHAnsi"/>
        </w:rPr>
        <w:t>ny G</w:t>
      </w:r>
      <w:r w:rsidR="00B31858">
        <w:rPr>
          <w:rFonts w:asciiTheme="minorHAnsi" w:hAnsiTheme="minorHAnsi" w:cstheme="minorHAnsi"/>
        </w:rPr>
        <w:t xml:space="preserve">roup 2 pension, which </w:t>
      </w:r>
      <w:r w:rsidR="00AC1266">
        <w:rPr>
          <w:rFonts w:asciiTheme="minorHAnsi" w:hAnsiTheme="minorHAnsi" w:cstheme="minorHAnsi"/>
        </w:rPr>
        <w:t xml:space="preserve">is </w:t>
      </w:r>
      <w:r w:rsidR="00B31858">
        <w:rPr>
          <w:rFonts w:asciiTheme="minorHAnsi" w:hAnsiTheme="minorHAnsi" w:cstheme="minorHAnsi"/>
        </w:rPr>
        <w:t xml:space="preserve">by definition higher than the highest Group 1 pension </w:t>
      </w:r>
      <w:r w:rsidR="00AC1266">
        <w:rPr>
          <w:rFonts w:asciiTheme="minorHAnsi" w:hAnsiTheme="minorHAnsi" w:cstheme="minorHAnsi"/>
        </w:rPr>
        <w:t>before PSPR</w:t>
      </w:r>
      <w:r w:rsidR="00B31858">
        <w:rPr>
          <w:rFonts w:asciiTheme="minorHAnsi" w:hAnsiTheme="minorHAnsi" w:cstheme="minorHAnsi"/>
        </w:rPr>
        <w:t xml:space="preserve">, </w:t>
      </w:r>
      <w:r w:rsidR="005670FA">
        <w:rPr>
          <w:rFonts w:asciiTheme="minorHAnsi" w:hAnsiTheme="minorHAnsi" w:cstheme="minorHAnsi"/>
        </w:rPr>
        <w:t xml:space="preserve">does not become </w:t>
      </w:r>
      <w:r w:rsidR="00543CA3">
        <w:rPr>
          <w:rFonts w:asciiTheme="minorHAnsi" w:hAnsiTheme="minorHAnsi" w:cstheme="minorHAnsi"/>
        </w:rPr>
        <w:t xml:space="preserve">lower than such a pension </w:t>
      </w:r>
      <w:r w:rsidR="00B31858">
        <w:rPr>
          <w:rFonts w:asciiTheme="minorHAnsi" w:hAnsiTheme="minorHAnsi" w:cstheme="minorHAnsi"/>
        </w:rPr>
        <w:t>after PSPR is applied to them both.</w:t>
      </w:r>
    </w:p>
    <w:p w:rsidR="00A837D0" w:rsidRPr="005E79A9" w:rsidRDefault="00A837D0" w:rsidP="00A837D0">
      <w:pPr>
        <w:contextualSpacing/>
        <w:jc w:val="both"/>
        <w:rPr>
          <w:rFonts w:asciiTheme="minorHAnsi" w:hAnsiTheme="minorHAnsi" w:cstheme="minorHAnsi"/>
        </w:rPr>
      </w:pPr>
      <w:r>
        <w:rPr>
          <w:rFonts w:asciiTheme="minorHAnsi" w:hAnsiTheme="minorHAnsi" w:cstheme="minorHAnsi"/>
        </w:rPr>
        <w:t xml:space="preserve">For example, a Group 2 pension </w:t>
      </w:r>
      <w:r w:rsidR="005E79A9">
        <w:rPr>
          <w:rFonts w:asciiTheme="minorHAnsi" w:hAnsiTheme="minorHAnsi" w:cstheme="minorHAnsi"/>
        </w:rPr>
        <w:t>of</w:t>
      </w:r>
      <w:r w:rsidR="00260650">
        <w:rPr>
          <w:rFonts w:asciiTheme="minorHAnsi" w:hAnsiTheme="minorHAnsi" w:cstheme="minorHAnsi"/>
        </w:rPr>
        <w:t xml:space="preserve"> </w:t>
      </w:r>
      <w:r w:rsidR="0005412F">
        <w:rPr>
          <w:rFonts w:asciiTheme="minorHAnsi" w:hAnsiTheme="minorHAnsi" w:cstheme="minorHAnsi"/>
        </w:rPr>
        <w:t xml:space="preserve">pre-PSPR value </w:t>
      </w:r>
      <w:r>
        <w:rPr>
          <w:rFonts w:asciiTheme="minorHAnsi" w:hAnsiTheme="minorHAnsi" w:cstheme="minorHAnsi"/>
        </w:rPr>
        <w:t>€34,500 would</w:t>
      </w:r>
      <w:r w:rsidR="00817331">
        <w:rPr>
          <w:rFonts w:asciiTheme="minorHAnsi" w:hAnsiTheme="minorHAnsi" w:cstheme="minorHAnsi"/>
        </w:rPr>
        <w:t>,</w:t>
      </w:r>
      <w:r>
        <w:rPr>
          <w:rFonts w:asciiTheme="minorHAnsi" w:hAnsiTheme="minorHAnsi" w:cstheme="minorHAnsi"/>
        </w:rPr>
        <w:t xml:space="preserve"> </w:t>
      </w:r>
      <w:r w:rsidR="00817331">
        <w:rPr>
          <w:rFonts w:asciiTheme="minorHAnsi" w:hAnsiTheme="minorHAnsi" w:cstheme="minorHAnsi"/>
        </w:rPr>
        <w:t xml:space="preserve">after </w:t>
      </w:r>
      <w:r w:rsidR="00014FA7">
        <w:rPr>
          <w:rFonts w:asciiTheme="minorHAnsi" w:hAnsiTheme="minorHAnsi" w:cstheme="minorHAnsi"/>
        </w:rPr>
        <w:t>application of Table A</w:t>
      </w:r>
      <w:r w:rsidR="00817331">
        <w:rPr>
          <w:rFonts w:asciiTheme="minorHAnsi" w:hAnsiTheme="minorHAnsi" w:cstheme="minorHAnsi"/>
        </w:rPr>
        <w:t>2</w:t>
      </w:r>
      <w:r w:rsidR="0005412F">
        <w:rPr>
          <w:rFonts w:asciiTheme="minorHAnsi" w:hAnsiTheme="minorHAnsi" w:cstheme="minorHAnsi"/>
        </w:rPr>
        <w:t xml:space="preserve"> above</w:t>
      </w:r>
      <w:r>
        <w:rPr>
          <w:rFonts w:asciiTheme="minorHAnsi" w:hAnsiTheme="minorHAnsi" w:cstheme="minorHAnsi"/>
        </w:rPr>
        <w:t>, have a</w:t>
      </w:r>
      <w:r w:rsidR="00D652AB">
        <w:rPr>
          <w:rFonts w:asciiTheme="minorHAnsi" w:hAnsiTheme="minorHAnsi" w:cstheme="minorHAnsi"/>
        </w:rPr>
        <w:t xml:space="preserve"> 201</w:t>
      </w:r>
      <w:r w:rsidR="00A8624E">
        <w:rPr>
          <w:rFonts w:asciiTheme="minorHAnsi" w:hAnsiTheme="minorHAnsi" w:cstheme="minorHAnsi"/>
        </w:rPr>
        <w:t>6</w:t>
      </w:r>
      <w:r>
        <w:rPr>
          <w:rFonts w:asciiTheme="minorHAnsi" w:hAnsiTheme="minorHAnsi" w:cstheme="minorHAnsi"/>
        </w:rPr>
        <w:t xml:space="preserve"> post-PSPR value of </w:t>
      </w:r>
      <w:r w:rsidRPr="004D61D4">
        <w:rPr>
          <w:rFonts w:asciiTheme="minorHAnsi" w:hAnsiTheme="minorHAnsi" w:cstheme="minorHAnsi"/>
          <w:b/>
        </w:rPr>
        <w:t>€3</w:t>
      </w:r>
      <w:r w:rsidR="00A8624E">
        <w:rPr>
          <w:rFonts w:asciiTheme="minorHAnsi" w:hAnsiTheme="minorHAnsi" w:cstheme="minorHAnsi"/>
          <w:b/>
        </w:rPr>
        <w:t>2</w:t>
      </w:r>
      <w:r w:rsidRPr="004D61D4">
        <w:rPr>
          <w:rFonts w:asciiTheme="minorHAnsi" w:hAnsiTheme="minorHAnsi" w:cstheme="minorHAnsi"/>
          <w:b/>
        </w:rPr>
        <w:t>,</w:t>
      </w:r>
      <w:r w:rsidR="00A8624E">
        <w:rPr>
          <w:rFonts w:asciiTheme="minorHAnsi" w:hAnsiTheme="minorHAnsi" w:cstheme="minorHAnsi"/>
          <w:b/>
        </w:rPr>
        <w:t>6</w:t>
      </w:r>
      <w:r w:rsidRPr="004D61D4">
        <w:rPr>
          <w:rFonts w:asciiTheme="minorHAnsi" w:hAnsiTheme="minorHAnsi" w:cstheme="minorHAnsi"/>
          <w:b/>
        </w:rPr>
        <w:t>80</w:t>
      </w:r>
      <w:r>
        <w:rPr>
          <w:rFonts w:asciiTheme="minorHAnsi" w:hAnsiTheme="minorHAnsi" w:cstheme="minorHAnsi"/>
        </w:rPr>
        <w:t xml:space="preserve">. That would be lower than </w:t>
      </w:r>
      <w:r w:rsidRPr="004D61D4">
        <w:rPr>
          <w:rFonts w:asciiTheme="minorHAnsi" w:hAnsiTheme="minorHAnsi" w:cstheme="minorHAnsi"/>
          <w:b/>
        </w:rPr>
        <w:t>€3</w:t>
      </w:r>
      <w:r w:rsidR="00130B20">
        <w:rPr>
          <w:rFonts w:asciiTheme="minorHAnsi" w:hAnsiTheme="minorHAnsi" w:cstheme="minorHAnsi"/>
          <w:b/>
        </w:rPr>
        <w:t>2</w:t>
      </w:r>
      <w:r w:rsidRPr="004D61D4">
        <w:rPr>
          <w:rFonts w:asciiTheme="minorHAnsi" w:hAnsiTheme="minorHAnsi" w:cstheme="minorHAnsi"/>
          <w:b/>
        </w:rPr>
        <w:t>,</w:t>
      </w:r>
      <w:r w:rsidR="00130B20">
        <w:rPr>
          <w:rFonts w:asciiTheme="minorHAnsi" w:hAnsiTheme="minorHAnsi" w:cstheme="minorHAnsi"/>
          <w:b/>
        </w:rPr>
        <w:t>902</w:t>
      </w:r>
      <w:r>
        <w:rPr>
          <w:rFonts w:asciiTheme="minorHAnsi" w:hAnsiTheme="minorHAnsi" w:cstheme="minorHAnsi"/>
        </w:rPr>
        <w:t xml:space="preserve">, the </w:t>
      </w:r>
      <w:r w:rsidR="00D652AB">
        <w:rPr>
          <w:rFonts w:asciiTheme="minorHAnsi" w:hAnsiTheme="minorHAnsi" w:cstheme="minorHAnsi"/>
        </w:rPr>
        <w:t>201</w:t>
      </w:r>
      <w:r w:rsidR="00A8624E">
        <w:rPr>
          <w:rFonts w:asciiTheme="minorHAnsi" w:hAnsiTheme="minorHAnsi" w:cstheme="minorHAnsi"/>
        </w:rPr>
        <w:t>6</w:t>
      </w:r>
      <w:r w:rsidR="00D652AB">
        <w:rPr>
          <w:rFonts w:asciiTheme="minorHAnsi" w:hAnsiTheme="minorHAnsi" w:cstheme="minorHAnsi"/>
        </w:rPr>
        <w:t xml:space="preserve"> </w:t>
      </w:r>
      <w:r>
        <w:rPr>
          <w:rFonts w:asciiTheme="minorHAnsi" w:hAnsiTheme="minorHAnsi" w:cstheme="minorHAnsi"/>
        </w:rPr>
        <w:t>post-PSPR value of the highest Group 1 pension</w:t>
      </w:r>
      <w:r w:rsidR="0005412F">
        <w:rPr>
          <w:rFonts w:asciiTheme="minorHAnsi" w:hAnsiTheme="minorHAnsi" w:cstheme="minorHAnsi"/>
        </w:rPr>
        <w:t xml:space="preserve">, </w:t>
      </w:r>
      <w:r w:rsidR="0020724A">
        <w:rPr>
          <w:rFonts w:asciiTheme="minorHAnsi" w:hAnsiTheme="minorHAnsi" w:cstheme="minorHAnsi"/>
        </w:rPr>
        <w:t xml:space="preserve">reversing the </w:t>
      </w:r>
      <w:r w:rsidR="005E79A9">
        <w:rPr>
          <w:rFonts w:asciiTheme="minorHAnsi" w:hAnsiTheme="minorHAnsi" w:cstheme="minorHAnsi"/>
        </w:rPr>
        <w:t xml:space="preserve">two </w:t>
      </w:r>
      <w:r w:rsidR="00817331">
        <w:rPr>
          <w:rFonts w:asciiTheme="minorHAnsi" w:hAnsiTheme="minorHAnsi" w:cstheme="minorHAnsi"/>
        </w:rPr>
        <w:t xml:space="preserve">pensions’ </w:t>
      </w:r>
      <w:r w:rsidR="00624FC8">
        <w:rPr>
          <w:rFonts w:asciiTheme="minorHAnsi" w:hAnsiTheme="minorHAnsi" w:cstheme="minorHAnsi"/>
        </w:rPr>
        <w:t xml:space="preserve">pre-PSPR value </w:t>
      </w:r>
      <w:r w:rsidR="0020724A">
        <w:rPr>
          <w:rFonts w:asciiTheme="minorHAnsi" w:hAnsiTheme="minorHAnsi" w:cstheme="minorHAnsi"/>
        </w:rPr>
        <w:t xml:space="preserve">order </w:t>
      </w:r>
      <w:r w:rsidR="00D652AB" w:rsidRPr="00D652AB">
        <w:rPr>
          <w:rFonts w:asciiTheme="minorHAnsi" w:hAnsiTheme="minorHAnsi" w:cstheme="minorHAnsi"/>
        </w:rPr>
        <w:t>(</w:t>
      </w:r>
      <w:r w:rsidR="0005412F" w:rsidRPr="00D652AB">
        <w:rPr>
          <w:rFonts w:asciiTheme="minorHAnsi" w:hAnsiTheme="minorHAnsi" w:cstheme="minorHAnsi"/>
        </w:rPr>
        <w:t>€34,500 and €34,132</w:t>
      </w:r>
      <w:r w:rsidR="0005412F">
        <w:rPr>
          <w:rFonts w:asciiTheme="minorHAnsi" w:hAnsiTheme="minorHAnsi" w:cstheme="minorHAnsi"/>
        </w:rPr>
        <w:t xml:space="preserve"> respectively</w:t>
      </w:r>
      <w:r w:rsidR="00D652AB">
        <w:rPr>
          <w:rFonts w:asciiTheme="minorHAnsi" w:hAnsiTheme="minorHAnsi" w:cstheme="minorHAnsi"/>
        </w:rPr>
        <w:t>)</w:t>
      </w:r>
      <w:r w:rsidR="0020724A">
        <w:rPr>
          <w:rFonts w:asciiTheme="minorHAnsi" w:hAnsiTheme="minorHAnsi" w:cstheme="minorHAnsi"/>
        </w:rPr>
        <w:t>.</w:t>
      </w:r>
      <w:r w:rsidR="00D652AB">
        <w:rPr>
          <w:rFonts w:asciiTheme="minorHAnsi" w:hAnsiTheme="minorHAnsi" w:cstheme="minorHAnsi"/>
        </w:rPr>
        <w:t xml:space="preserve"> </w:t>
      </w:r>
      <w:r w:rsidR="00817331">
        <w:rPr>
          <w:rFonts w:asciiTheme="minorHAnsi" w:hAnsiTheme="minorHAnsi" w:cstheme="minorHAnsi"/>
        </w:rPr>
        <w:t>That would be a clear anomaly</w:t>
      </w:r>
      <w:r w:rsidR="005E79A9">
        <w:rPr>
          <w:rFonts w:asciiTheme="minorHAnsi" w:hAnsiTheme="minorHAnsi" w:cstheme="minorHAnsi"/>
        </w:rPr>
        <w:t>,</w:t>
      </w:r>
      <w:r w:rsidR="004D61D4">
        <w:rPr>
          <w:rFonts w:asciiTheme="minorHAnsi" w:hAnsiTheme="minorHAnsi" w:cstheme="minorHAnsi"/>
        </w:rPr>
        <w:t xml:space="preserve"> so a </w:t>
      </w:r>
      <w:r w:rsidR="004D61D4" w:rsidRPr="00817331">
        <w:rPr>
          <w:rFonts w:asciiTheme="minorHAnsi" w:hAnsiTheme="minorHAnsi" w:cstheme="minorHAnsi"/>
          <w:b/>
        </w:rPr>
        <w:t>special increase</w:t>
      </w:r>
      <w:r w:rsidR="004D61D4">
        <w:rPr>
          <w:rFonts w:asciiTheme="minorHAnsi" w:hAnsiTheme="minorHAnsi" w:cstheme="minorHAnsi"/>
        </w:rPr>
        <w:t xml:space="preserve"> is </w:t>
      </w:r>
      <w:r w:rsidR="00624FC8">
        <w:rPr>
          <w:rFonts w:asciiTheme="minorHAnsi" w:hAnsiTheme="minorHAnsi" w:cstheme="minorHAnsi"/>
        </w:rPr>
        <w:t xml:space="preserve">added </w:t>
      </w:r>
      <w:r w:rsidR="004D61D4">
        <w:rPr>
          <w:rFonts w:asciiTheme="minorHAnsi" w:hAnsiTheme="minorHAnsi" w:cstheme="minorHAnsi"/>
        </w:rPr>
        <w:t xml:space="preserve">to </w:t>
      </w:r>
      <w:r w:rsidR="00817331">
        <w:rPr>
          <w:rFonts w:asciiTheme="minorHAnsi" w:hAnsiTheme="minorHAnsi" w:cstheme="minorHAnsi"/>
        </w:rPr>
        <w:t>lift</w:t>
      </w:r>
      <w:r w:rsidR="004D61D4">
        <w:rPr>
          <w:rFonts w:asciiTheme="minorHAnsi" w:hAnsiTheme="minorHAnsi" w:cstheme="minorHAnsi"/>
        </w:rPr>
        <w:t xml:space="preserve"> the </w:t>
      </w:r>
      <w:r w:rsidR="00624FC8">
        <w:rPr>
          <w:rFonts w:asciiTheme="minorHAnsi" w:hAnsiTheme="minorHAnsi" w:cstheme="minorHAnsi"/>
        </w:rPr>
        <w:t xml:space="preserve">Group 2 pension’s </w:t>
      </w:r>
      <w:r w:rsidR="004D61D4">
        <w:rPr>
          <w:rFonts w:asciiTheme="minorHAnsi" w:hAnsiTheme="minorHAnsi" w:cstheme="minorHAnsi"/>
        </w:rPr>
        <w:t xml:space="preserve">post-PSPR value </w:t>
      </w:r>
      <w:r w:rsidR="004D61D4" w:rsidRPr="005E79A9">
        <w:rPr>
          <w:rFonts w:asciiTheme="minorHAnsi" w:hAnsiTheme="minorHAnsi" w:cstheme="minorHAnsi"/>
        </w:rPr>
        <w:t>from €3</w:t>
      </w:r>
      <w:r w:rsidR="00A8624E">
        <w:rPr>
          <w:rFonts w:asciiTheme="minorHAnsi" w:hAnsiTheme="minorHAnsi" w:cstheme="minorHAnsi"/>
        </w:rPr>
        <w:t>2</w:t>
      </w:r>
      <w:r w:rsidR="004D61D4" w:rsidRPr="005E79A9">
        <w:rPr>
          <w:rFonts w:asciiTheme="minorHAnsi" w:hAnsiTheme="minorHAnsi" w:cstheme="minorHAnsi"/>
        </w:rPr>
        <w:t>,</w:t>
      </w:r>
      <w:r w:rsidR="00A8624E">
        <w:rPr>
          <w:rFonts w:asciiTheme="minorHAnsi" w:hAnsiTheme="minorHAnsi" w:cstheme="minorHAnsi"/>
        </w:rPr>
        <w:t>6</w:t>
      </w:r>
      <w:r w:rsidR="004D61D4" w:rsidRPr="005E79A9">
        <w:rPr>
          <w:rFonts w:asciiTheme="minorHAnsi" w:hAnsiTheme="minorHAnsi" w:cstheme="minorHAnsi"/>
        </w:rPr>
        <w:t>80 to €3</w:t>
      </w:r>
      <w:r w:rsidR="00A8624E">
        <w:rPr>
          <w:rFonts w:asciiTheme="minorHAnsi" w:hAnsiTheme="minorHAnsi" w:cstheme="minorHAnsi"/>
        </w:rPr>
        <w:t>2</w:t>
      </w:r>
      <w:r w:rsidR="004D61D4" w:rsidRPr="005E79A9">
        <w:rPr>
          <w:rFonts w:asciiTheme="minorHAnsi" w:hAnsiTheme="minorHAnsi" w:cstheme="minorHAnsi"/>
        </w:rPr>
        <w:t>,</w:t>
      </w:r>
      <w:r w:rsidR="00A8624E">
        <w:rPr>
          <w:rFonts w:asciiTheme="minorHAnsi" w:hAnsiTheme="minorHAnsi" w:cstheme="minorHAnsi"/>
        </w:rPr>
        <w:t>902</w:t>
      </w:r>
      <w:r w:rsidR="004D61D4" w:rsidRPr="005E79A9">
        <w:rPr>
          <w:rFonts w:asciiTheme="minorHAnsi" w:hAnsiTheme="minorHAnsi" w:cstheme="minorHAnsi"/>
        </w:rPr>
        <w:t>.</w:t>
      </w:r>
    </w:p>
    <w:p w:rsidR="00A837D0" w:rsidRDefault="00A837D0" w:rsidP="003F5266">
      <w:pPr>
        <w:contextualSpacing/>
        <w:jc w:val="both"/>
        <w:rPr>
          <w:rFonts w:asciiTheme="minorHAnsi" w:hAnsiTheme="minorHAnsi" w:cstheme="minorHAnsi"/>
        </w:rPr>
      </w:pPr>
    </w:p>
    <w:p w:rsidR="00095CE8" w:rsidRDefault="00260650" w:rsidP="003F5266">
      <w:pPr>
        <w:contextualSpacing/>
        <w:jc w:val="both"/>
        <w:rPr>
          <w:rFonts w:asciiTheme="minorHAnsi" w:hAnsiTheme="minorHAnsi" w:cstheme="minorHAnsi"/>
        </w:rPr>
      </w:pPr>
      <w:r>
        <w:rPr>
          <w:rFonts w:asciiTheme="minorHAnsi" w:hAnsiTheme="minorHAnsi" w:cstheme="minorHAnsi"/>
        </w:rPr>
        <w:t xml:space="preserve">For reference, </w:t>
      </w:r>
      <w:r w:rsidR="003F5266">
        <w:rPr>
          <w:rFonts w:asciiTheme="minorHAnsi" w:hAnsiTheme="minorHAnsi" w:cstheme="minorHAnsi"/>
        </w:rPr>
        <w:t xml:space="preserve">the </w:t>
      </w:r>
      <w:r w:rsidR="003F5266" w:rsidRPr="00586BB6">
        <w:rPr>
          <w:rFonts w:asciiTheme="minorHAnsi" w:hAnsiTheme="minorHAnsi" w:cstheme="minorHAnsi"/>
          <w:b/>
        </w:rPr>
        <w:t>minimum post-PSPR value</w:t>
      </w:r>
      <w:r w:rsidR="00B31858">
        <w:rPr>
          <w:rFonts w:asciiTheme="minorHAnsi" w:hAnsiTheme="minorHAnsi" w:cstheme="minorHAnsi"/>
          <w:b/>
        </w:rPr>
        <w:t>s</w:t>
      </w:r>
      <w:r w:rsidR="003F5266" w:rsidRPr="00586BB6">
        <w:rPr>
          <w:rFonts w:asciiTheme="minorHAnsi" w:hAnsiTheme="minorHAnsi" w:cstheme="minorHAnsi"/>
          <w:b/>
        </w:rPr>
        <w:t xml:space="preserve"> of a Group 2 pension</w:t>
      </w:r>
      <w:r w:rsidR="003F5266">
        <w:rPr>
          <w:rFonts w:asciiTheme="minorHAnsi" w:hAnsiTheme="minorHAnsi" w:cstheme="minorHAnsi"/>
        </w:rPr>
        <w:t xml:space="preserve">, following application </w:t>
      </w:r>
      <w:r w:rsidR="00AE00D3">
        <w:rPr>
          <w:rFonts w:asciiTheme="minorHAnsi" w:hAnsiTheme="minorHAnsi" w:cstheme="minorHAnsi"/>
        </w:rPr>
        <w:t xml:space="preserve">of </w:t>
      </w:r>
      <w:r w:rsidR="0088291D">
        <w:rPr>
          <w:rFonts w:asciiTheme="minorHAnsi" w:hAnsiTheme="minorHAnsi" w:cstheme="minorHAnsi"/>
        </w:rPr>
        <w:t xml:space="preserve">any relevant </w:t>
      </w:r>
      <w:r w:rsidR="00AE00D3">
        <w:rPr>
          <w:rFonts w:asciiTheme="minorHAnsi" w:hAnsiTheme="minorHAnsi" w:cstheme="minorHAnsi"/>
        </w:rPr>
        <w:t xml:space="preserve">table above </w:t>
      </w:r>
      <w:r w:rsidR="00B31858">
        <w:rPr>
          <w:rFonts w:asciiTheme="minorHAnsi" w:hAnsiTheme="minorHAnsi" w:cstheme="minorHAnsi"/>
        </w:rPr>
        <w:t xml:space="preserve">(Tables A2, B2 or C2) </w:t>
      </w:r>
      <w:r w:rsidR="00AE00D3">
        <w:rPr>
          <w:rFonts w:asciiTheme="minorHAnsi" w:hAnsiTheme="minorHAnsi" w:cstheme="minorHAnsi"/>
        </w:rPr>
        <w:t xml:space="preserve">and </w:t>
      </w:r>
      <w:r w:rsidR="0020724A">
        <w:rPr>
          <w:rFonts w:asciiTheme="minorHAnsi" w:hAnsiTheme="minorHAnsi" w:cstheme="minorHAnsi"/>
        </w:rPr>
        <w:t>of any</w:t>
      </w:r>
      <w:r w:rsidR="003F5266">
        <w:rPr>
          <w:rFonts w:asciiTheme="minorHAnsi" w:hAnsiTheme="minorHAnsi" w:cstheme="minorHAnsi"/>
        </w:rPr>
        <w:t xml:space="preserve"> due </w:t>
      </w:r>
      <w:r w:rsidRPr="00B220E8">
        <w:rPr>
          <w:rFonts w:asciiTheme="minorHAnsi" w:hAnsiTheme="minorHAnsi" w:cstheme="minorHAnsi"/>
          <w:b/>
        </w:rPr>
        <w:t>special increase</w:t>
      </w:r>
      <w:r w:rsidR="00AE00D3">
        <w:rPr>
          <w:rFonts w:asciiTheme="minorHAnsi" w:hAnsiTheme="minorHAnsi" w:cstheme="minorHAnsi"/>
        </w:rPr>
        <w:t xml:space="preserve">, </w:t>
      </w:r>
      <w:r w:rsidR="00B31858">
        <w:rPr>
          <w:rFonts w:asciiTheme="minorHAnsi" w:hAnsiTheme="minorHAnsi" w:cstheme="minorHAnsi"/>
        </w:rPr>
        <w:t>are</w:t>
      </w:r>
      <w:r w:rsidR="003F5266">
        <w:rPr>
          <w:rFonts w:asciiTheme="minorHAnsi" w:hAnsiTheme="minorHAnsi" w:cstheme="minorHAnsi"/>
        </w:rPr>
        <w:t xml:space="preserve"> as follows:</w:t>
      </w:r>
    </w:p>
    <w:p w:rsidR="004568FE" w:rsidRDefault="004568FE" w:rsidP="003F5266">
      <w:pPr>
        <w:contextualSpacing/>
        <w:jc w:val="both"/>
        <w:rPr>
          <w:rFonts w:asciiTheme="minorHAnsi" w:hAnsiTheme="minorHAnsi" w:cstheme="minorHAnsi"/>
        </w:rPr>
      </w:pPr>
    </w:p>
    <w:p w:rsidR="003F5266" w:rsidRDefault="00350EAE" w:rsidP="00447D17">
      <w:pPr>
        <w:pStyle w:val="ListParagraph"/>
        <w:numPr>
          <w:ilvl w:val="0"/>
          <w:numId w:val="2"/>
        </w:numPr>
        <w:jc w:val="both"/>
        <w:rPr>
          <w:rFonts w:asciiTheme="minorHAnsi" w:hAnsiTheme="minorHAnsi" w:cstheme="minorHAnsi"/>
        </w:rPr>
      </w:pPr>
      <w:r>
        <w:rPr>
          <w:rFonts w:asciiTheme="minorHAnsi" w:hAnsiTheme="minorHAnsi" w:cstheme="minorHAnsi"/>
        </w:rPr>
        <w:t>F</w:t>
      </w:r>
      <w:r w:rsidRPr="00B70910">
        <w:rPr>
          <w:rFonts w:asciiTheme="minorHAnsi" w:hAnsiTheme="minorHAnsi" w:cstheme="minorHAnsi"/>
        </w:rPr>
        <w:t>rom 1 January 2016</w:t>
      </w:r>
      <w:r>
        <w:rPr>
          <w:rFonts w:asciiTheme="minorHAnsi" w:hAnsiTheme="minorHAnsi" w:cstheme="minorHAnsi"/>
        </w:rPr>
        <w:t xml:space="preserve"> – </w:t>
      </w:r>
      <w:r w:rsidRPr="00B70910">
        <w:rPr>
          <w:rFonts w:asciiTheme="minorHAnsi" w:hAnsiTheme="minorHAnsi" w:cstheme="minorHAnsi"/>
        </w:rPr>
        <w:t>Table A</w:t>
      </w:r>
      <w:r w:rsidR="00F720A4">
        <w:rPr>
          <w:rFonts w:asciiTheme="minorHAnsi" w:hAnsiTheme="minorHAnsi" w:cstheme="minorHAnsi"/>
        </w:rPr>
        <w:t>2</w:t>
      </w:r>
      <w:r w:rsidRPr="00B70910">
        <w:rPr>
          <w:rFonts w:asciiTheme="minorHAnsi" w:hAnsiTheme="minorHAnsi" w:cstheme="minorHAnsi"/>
        </w:rPr>
        <w:t xml:space="preserve"> (Group 2)</w:t>
      </w:r>
      <w:r>
        <w:rPr>
          <w:rFonts w:asciiTheme="minorHAnsi" w:hAnsiTheme="minorHAnsi" w:cstheme="minorHAnsi"/>
        </w:rPr>
        <w:t>:</w:t>
      </w:r>
      <w:r w:rsidR="003F5266" w:rsidRPr="00586BB6">
        <w:rPr>
          <w:rFonts w:asciiTheme="minorHAnsi" w:hAnsiTheme="minorHAnsi" w:cstheme="minorHAnsi"/>
        </w:rPr>
        <w:t xml:space="preserve"> </w:t>
      </w:r>
      <w:r w:rsidR="003F5266" w:rsidRPr="00586BB6">
        <w:rPr>
          <w:rFonts w:asciiTheme="minorHAnsi" w:hAnsiTheme="minorHAnsi" w:cstheme="minorHAnsi"/>
        </w:rPr>
        <w:tab/>
        <w:t>€32,902</w:t>
      </w:r>
    </w:p>
    <w:p w:rsidR="003F5266" w:rsidRDefault="00350EAE" w:rsidP="00447D17">
      <w:pPr>
        <w:pStyle w:val="ListParagraph"/>
        <w:numPr>
          <w:ilvl w:val="0"/>
          <w:numId w:val="2"/>
        </w:numPr>
        <w:jc w:val="both"/>
        <w:rPr>
          <w:rFonts w:asciiTheme="minorHAnsi" w:hAnsiTheme="minorHAnsi" w:cstheme="minorHAnsi"/>
        </w:rPr>
      </w:pPr>
      <w:r>
        <w:rPr>
          <w:rFonts w:asciiTheme="minorHAnsi" w:hAnsiTheme="minorHAnsi" w:cstheme="minorHAnsi"/>
        </w:rPr>
        <w:t>F</w:t>
      </w:r>
      <w:r w:rsidRPr="00B70910">
        <w:rPr>
          <w:rFonts w:asciiTheme="minorHAnsi" w:hAnsiTheme="minorHAnsi" w:cstheme="minorHAnsi"/>
        </w:rPr>
        <w:t>rom 1 January 201</w:t>
      </w:r>
      <w:r>
        <w:rPr>
          <w:rFonts w:asciiTheme="minorHAnsi" w:hAnsiTheme="minorHAnsi" w:cstheme="minorHAnsi"/>
        </w:rPr>
        <w:t xml:space="preserve">7  – </w:t>
      </w:r>
      <w:r w:rsidRPr="00B70910">
        <w:rPr>
          <w:rFonts w:asciiTheme="minorHAnsi" w:hAnsiTheme="minorHAnsi" w:cstheme="minorHAnsi"/>
        </w:rPr>
        <w:t>Table B</w:t>
      </w:r>
      <w:r w:rsidR="00F720A4">
        <w:rPr>
          <w:rFonts w:asciiTheme="minorHAnsi" w:hAnsiTheme="minorHAnsi" w:cstheme="minorHAnsi"/>
        </w:rPr>
        <w:t>2</w:t>
      </w:r>
      <w:r>
        <w:rPr>
          <w:rFonts w:asciiTheme="minorHAnsi" w:hAnsiTheme="minorHAnsi" w:cstheme="minorHAnsi"/>
        </w:rPr>
        <w:t xml:space="preserve"> (Group 2)</w:t>
      </w:r>
      <w:r w:rsidR="003F5266" w:rsidRPr="00586BB6">
        <w:rPr>
          <w:rFonts w:asciiTheme="minorHAnsi" w:hAnsiTheme="minorHAnsi" w:cstheme="minorHAnsi"/>
        </w:rPr>
        <w:t xml:space="preserve">: </w:t>
      </w:r>
      <w:r w:rsidR="003F5266" w:rsidRPr="00586BB6">
        <w:rPr>
          <w:rFonts w:asciiTheme="minorHAnsi" w:hAnsiTheme="minorHAnsi" w:cstheme="minorHAnsi"/>
        </w:rPr>
        <w:tab/>
        <w:t>€33,400</w:t>
      </w:r>
    </w:p>
    <w:p w:rsidR="003F5266" w:rsidRPr="00586BB6" w:rsidRDefault="00350EAE" w:rsidP="00447D17">
      <w:pPr>
        <w:pStyle w:val="ListParagraph"/>
        <w:numPr>
          <w:ilvl w:val="0"/>
          <w:numId w:val="2"/>
        </w:numPr>
        <w:jc w:val="both"/>
        <w:rPr>
          <w:rFonts w:asciiTheme="minorHAnsi" w:hAnsiTheme="minorHAnsi" w:cstheme="minorHAnsi"/>
        </w:rPr>
      </w:pPr>
      <w:r>
        <w:rPr>
          <w:rFonts w:asciiTheme="minorHAnsi" w:hAnsiTheme="minorHAnsi" w:cstheme="minorHAnsi"/>
        </w:rPr>
        <w:t>F</w:t>
      </w:r>
      <w:r w:rsidRPr="00B70910">
        <w:rPr>
          <w:rFonts w:asciiTheme="minorHAnsi" w:hAnsiTheme="minorHAnsi" w:cstheme="minorHAnsi"/>
        </w:rPr>
        <w:t>rom 1 January 201</w:t>
      </w:r>
      <w:r>
        <w:rPr>
          <w:rFonts w:asciiTheme="minorHAnsi" w:hAnsiTheme="minorHAnsi" w:cstheme="minorHAnsi"/>
        </w:rPr>
        <w:t xml:space="preserve">8  – Table </w:t>
      </w:r>
      <w:r w:rsidR="003F5266" w:rsidRPr="00586BB6">
        <w:rPr>
          <w:rFonts w:asciiTheme="minorHAnsi" w:hAnsiTheme="minorHAnsi" w:cstheme="minorHAnsi"/>
        </w:rPr>
        <w:t>C</w:t>
      </w:r>
      <w:r w:rsidR="00F720A4">
        <w:rPr>
          <w:rFonts w:asciiTheme="minorHAnsi" w:hAnsiTheme="minorHAnsi" w:cstheme="minorHAnsi"/>
        </w:rPr>
        <w:t>2</w:t>
      </w:r>
      <w:r w:rsidR="003F5266" w:rsidRPr="00586BB6">
        <w:rPr>
          <w:rFonts w:asciiTheme="minorHAnsi" w:hAnsiTheme="minorHAnsi" w:cstheme="minorHAnsi"/>
        </w:rPr>
        <w:t xml:space="preserve"> (Group 2)</w:t>
      </w:r>
      <w:r>
        <w:rPr>
          <w:rFonts w:asciiTheme="minorHAnsi" w:hAnsiTheme="minorHAnsi" w:cstheme="minorHAnsi"/>
        </w:rPr>
        <w:t>:</w:t>
      </w:r>
      <w:r w:rsidR="003F5266" w:rsidRPr="00586BB6">
        <w:rPr>
          <w:rFonts w:asciiTheme="minorHAnsi" w:hAnsiTheme="minorHAnsi" w:cstheme="minorHAnsi"/>
        </w:rPr>
        <w:t xml:space="preserve"> </w:t>
      </w:r>
      <w:r w:rsidR="003F5266" w:rsidRPr="00586BB6">
        <w:rPr>
          <w:rFonts w:asciiTheme="minorHAnsi" w:hAnsiTheme="minorHAnsi" w:cstheme="minorHAnsi"/>
        </w:rPr>
        <w:tab/>
        <w:t>€34,132</w:t>
      </w:r>
    </w:p>
    <w:p w:rsidR="00BA5AFF" w:rsidRDefault="00BA5AFF" w:rsidP="00550A7B">
      <w:pPr>
        <w:contextualSpacing/>
        <w:jc w:val="both"/>
        <w:rPr>
          <w:rFonts w:asciiTheme="minorHAnsi" w:hAnsiTheme="minorHAnsi" w:cstheme="minorHAnsi"/>
        </w:rPr>
      </w:pPr>
    </w:p>
    <w:p w:rsidR="00B31858" w:rsidRPr="00B70910" w:rsidRDefault="00B31858" w:rsidP="00B31858">
      <w:pPr>
        <w:contextualSpacing/>
        <w:jc w:val="both"/>
        <w:rPr>
          <w:rFonts w:asciiTheme="minorHAnsi" w:hAnsiTheme="minorHAnsi" w:cstheme="minorHAnsi"/>
        </w:rPr>
      </w:pPr>
      <w:r>
        <w:rPr>
          <w:rFonts w:asciiTheme="minorHAnsi" w:hAnsiTheme="minorHAnsi" w:cstheme="minorHAnsi"/>
        </w:rPr>
        <w:t xml:space="preserve">The </w:t>
      </w:r>
      <w:r w:rsidRPr="00B220E8">
        <w:rPr>
          <w:rFonts w:asciiTheme="minorHAnsi" w:hAnsiTheme="minorHAnsi" w:cstheme="minorHAnsi"/>
          <w:b/>
        </w:rPr>
        <w:t>special increase</w:t>
      </w:r>
      <w:r>
        <w:rPr>
          <w:rFonts w:asciiTheme="minorHAnsi" w:hAnsiTheme="minorHAnsi" w:cstheme="minorHAnsi"/>
        </w:rPr>
        <w:t xml:space="preserve"> </w:t>
      </w:r>
      <w:r w:rsidR="005E79A9">
        <w:rPr>
          <w:rFonts w:asciiTheme="minorHAnsi" w:hAnsiTheme="minorHAnsi" w:cstheme="minorHAnsi"/>
        </w:rPr>
        <w:t>described above</w:t>
      </w:r>
      <w:r>
        <w:rPr>
          <w:rFonts w:asciiTheme="minorHAnsi" w:hAnsiTheme="minorHAnsi" w:cstheme="minorHAnsi"/>
        </w:rPr>
        <w:t xml:space="preserve"> is provided for in section 2(4) of FEMPI 2010, inserted by</w:t>
      </w:r>
      <w:r w:rsidR="005E79A9">
        <w:rPr>
          <w:rFonts w:asciiTheme="minorHAnsi" w:hAnsiTheme="minorHAnsi" w:cstheme="minorHAnsi"/>
        </w:rPr>
        <w:t xml:space="preserve"> section 6(1)(b) of FEMPI 2015.</w:t>
      </w:r>
    </w:p>
    <w:p w:rsidR="00AC1266" w:rsidRDefault="00AC1266" w:rsidP="00550A7B">
      <w:pPr>
        <w:contextualSpacing/>
        <w:jc w:val="both"/>
        <w:rPr>
          <w:rFonts w:asciiTheme="minorHAnsi" w:hAnsiTheme="minorHAnsi" w:cstheme="minorHAnsi"/>
        </w:rPr>
      </w:pPr>
    </w:p>
    <w:p w:rsidR="004568FE" w:rsidRDefault="004568FE" w:rsidP="00875A19">
      <w:pPr>
        <w:contextualSpacing/>
        <w:jc w:val="both"/>
        <w:rPr>
          <w:rFonts w:asciiTheme="minorHAnsi" w:hAnsiTheme="minorHAnsi" w:cstheme="minorHAnsi"/>
          <w:b/>
        </w:rPr>
      </w:pPr>
    </w:p>
    <w:p w:rsidR="00875A19" w:rsidRPr="008469B6" w:rsidRDefault="00DC735D" w:rsidP="00875A19">
      <w:pPr>
        <w:contextualSpacing/>
        <w:jc w:val="both"/>
        <w:rPr>
          <w:rFonts w:asciiTheme="minorHAnsi" w:hAnsiTheme="minorHAnsi" w:cstheme="minorHAnsi"/>
          <w:b/>
          <w:u w:val="single"/>
        </w:rPr>
      </w:pPr>
      <w:r w:rsidRPr="005D30F8">
        <w:rPr>
          <w:rFonts w:asciiTheme="minorHAnsi" w:hAnsiTheme="minorHAnsi" w:cstheme="minorHAnsi"/>
          <w:b/>
        </w:rPr>
        <w:t>(iii)</w:t>
      </w:r>
      <w:r w:rsidR="005D30F8">
        <w:rPr>
          <w:rFonts w:asciiTheme="minorHAnsi" w:hAnsiTheme="minorHAnsi" w:cstheme="minorHAnsi"/>
          <w:b/>
        </w:rPr>
        <w:tab/>
      </w:r>
      <w:r w:rsidR="00875A19" w:rsidRPr="008469B6">
        <w:rPr>
          <w:rFonts w:asciiTheme="minorHAnsi" w:hAnsiTheme="minorHAnsi" w:cstheme="minorHAnsi"/>
          <w:b/>
          <w:u w:val="single"/>
        </w:rPr>
        <w:t xml:space="preserve">Group 3: Post-February 2012 pensions greater than €32,500 (before PSPR) </w:t>
      </w:r>
    </w:p>
    <w:p w:rsidR="005D30F8" w:rsidRDefault="005D30F8" w:rsidP="00DC735D">
      <w:pPr>
        <w:contextualSpacing/>
        <w:jc w:val="both"/>
        <w:rPr>
          <w:rFonts w:asciiTheme="minorHAnsi" w:hAnsiTheme="minorHAnsi" w:cstheme="minorHAnsi"/>
          <w:b/>
        </w:rPr>
      </w:pPr>
    </w:p>
    <w:p w:rsidR="00F770E3" w:rsidRDefault="00F770E3" w:rsidP="00F770E3">
      <w:pPr>
        <w:contextualSpacing/>
        <w:jc w:val="both"/>
        <w:rPr>
          <w:rFonts w:asciiTheme="minorHAnsi" w:hAnsiTheme="minorHAnsi" w:cstheme="minorHAnsi"/>
        </w:rPr>
      </w:pPr>
      <w:r>
        <w:rPr>
          <w:rFonts w:asciiTheme="minorHAnsi" w:hAnsiTheme="minorHAnsi" w:cstheme="minorHAnsi"/>
        </w:rPr>
        <w:t>1 January 2016:</w:t>
      </w:r>
    </w:p>
    <w:tbl>
      <w:tblPr>
        <w:tblStyle w:val="TableGrid"/>
        <w:tblW w:w="0" w:type="auto"/>
        <w:tblLook w:val="01E0" w:firstRow="1" w:lastRow="1" w:firstColumn="1" w:lastColumn="1" w:noHBand="0" w:noVBand="0"/>
      </w:tblPr>
      <w:tblGrid>
        <w:gridCol w:w="5080"/>
        <w:gridCol w:w="2428"/>
      </w:tblGrid>
      <w:tr w:rsidR="000A49A1" w:rsidRPr="009233BB" w:rsidTr="005C12F9">
        <w:tc>
          <w:tcPr>
            <w:tcW w:w="7508" w:type="dxa"/>
            <w:gridSpan w:val="2"/>
            <w:tcBorders>
              <w:top w:val="single" w:sz="4" w:space="0" w:color="auto"/>
              <w:left w:val="single" w:sz="4" w:space="0" w:color="auto"/>
              <w:bottom w:val="single" w:sz="4" w:space="0" w:color="auto"/>
              <w:right w:val="single" w:sz="4" w:space="0" w:color="auto"/>
            </w:tcBorders>
          </w:tcPr>
          <w:p w:rsidR="000A49A1" w:rsidRPr="009233BB" w:rsidRDefault="00DC735D"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TABLE A</w:t>
            </w:r>
            <w:r w:rsidR="00624FC8">
              <w:rPr>
                <w:rFonts w:asciiTheme="minorHAnsi" w:hAnsiTheme="minorHAnsi" w:cstheme="minorHAnsi"/>
                <w:b/>
                <w:sz w:val="24"/>
                <w:szCs w:val="24"/>
                <w:lang w:val="en-GB"/>
              </w:rPr>
              <w:t>3</w:t>
            </w:r>
            <w:r>
              <w:rPr>
                <w:rFonts w:asciiTheme="minorHAnsi" w:hAnsiTheme="minorHAnsi" w:cstheme="minorHAnsi"/>
                <w:b/>
                <w:sz w:val="24"/>
                <w:szCs w:val="24"/>
                <w:lang w:val="en-GB"/>
              </w:rPr>
              <w:t xml:space="preserve"> (Group 3): </w:t>
            </w:r>
            <w:r w:rsidR="000A49A1" w:rsidRPr="009233BB">
              <w:rPr>
                <w:rFonts w:asciiTheme="minorHAnsi" w:hAnsiTheme="minorHAnsi" w:cstheme="minorHAnsi"/>
                <w:b/>
                <w:sz w:val="24"/>
                <w:szCs w:val="24"/>
                <w:lang w:val="en-GB"/>
              </w:rPr>
              <w:t xml:space="preserve">PSPR </w:t>
            </w:r>
            <w:r w:rsidR="000A49A1">
              <w:rPr>
                <w:rFonts w:asciiTheme="minorHAnsi" w:hAnsiTheme="minorHAnsi" w:cstheme="minorHAnsi"/>
                <w:b/>
                <w:sz w:val="24"/>
                <w:szCs w:val="24"/>
                <w:lang w:val="en-GB"/>
              </w:rPr>
              <w:t xml:space="preserve">from </w:t>
            </w:r>
            <w:r w:rsidR="000A49A1" w:rsidRPr="000A49A1">
              <w:rPr>
                <w:rFonts w:asciiTheme="minorHAnsi" w:hAnsiTheme="minorHAnsi" w:cstheme="minorHAnsi"/>
                <w:b/>
                <w:sz w:val="24"/>
                <w:szCs w:val="24"/>
                <w:lang w:val="en-GB"/>
              </w:rPr>
              <w:t>1 January 2016 to 31 December 2016</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350EAE">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w:t>
            </w:r>
            <w:r>
              <w:rPr>
                <w:rFonts w:asciiTheme="minorHAnsi" w:hAnsiTheme="minorHAnsi" w:cstheme="minorHAnsi"/>
                <w:sz w:val="24"/>
                <w:szCs w:val="24"/>
                <w:lang w:val="en-GB"/>
              </w:rPr>
              <w:t>29</w:t>
            </w:r>
            <w:r w:rsidRPr="009233BB">
              <w:rPr>
                <w:rFonts w:asciiTheme="minorHAnsi" w:hAnsiTheme="minorHAnsi" w:cstheme="minorHAnsi"/>
                <w:sz w:val="24"/>
                <w:szCs w:val="24"/>
                <w:lang w:val="en-GB"/>
              </w:rPr>
              <w:t>,</w:t>
            </w:r>
            <w:r>
              <w:rPr>
                <w:rFonts w:asciiTheme="minorHAnsi" w:hAnsiTheme="minorHAnsi" w:cstheme="minorHAnsi"/>
                <w:sz w:val="24"/>
                <w:szCs w:val="24"/>
                <w:lang w:val="en-GB"/>
              </w:rPr>
              <w:t>3</w:t>
            </w:r>
            <w:r w:rsidRPr="009233BB">
              <w:rPr>
                <w:rFonts w:asciiTheme="minorHAnsi" w:hAnsiTheme="minorHAnsi" w:cstheme="minorHAnsi"/>
                <w:sz w:val="24"/>
                <w:szCs w:val="24"/>
                <w:lang w:val="en-GB"/>
              </w:rPr>
              <w:t>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142D56">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€2</w:t>
            </w:r>
            <w:r w:rsidR="00142D56">
              <w:rPr>
                <w:rFonts w:asciiTheme="minorHAnsi" w:hAnsiTheme="minorHAnsi" w:cstheme="minorHAnsi"/>
                <w:sz w:val="24"/>
                <w:szCs w:val="24"/>
                <w:lang w:val="en-GB"/>
              </w:rPr>
              <w:t>9</w:t>
            </w:r>
            <w:r w:rsidRPr="009233BB">
              <w:rPr>
                <w:rFonts w:asciiTheme="minorHAnsi" w:hAnsiTheme="minorHAnsi" w:cstheme="minorHAnsi"/>
                <w:sz w:val="24"/>
                <w:szCs w:val="24"/>
                <w:lang w:val="en-GB"/>
              </w:rPr>
              <w:t>,</w:t>
            </w:r>
            <w:r w:rsidR="00142D56">
              <w:rPr>
                <w:rFonts w:asciiTheme="minorHAnsi" w:hAnsiTheme="minorHAnsi" w:cstheme="minorHAnsi"/>
                <w:sz w:val="24"/>
                <w:szCs w:val="24"/>
                <w:lang w:val="en-GB"/>
              </w:rPr>
              <w:t>3</w:t>
            </w:r>
            <w:r w:rsidRPr="009233BB">
              <w:rPr>
                <w:rFonts w:asciiTheme="minorHAnsi" w:hAnsiTheme="minorHAnsi" w:cstheme="minorHAnsi"/>
                <w:sz w:val="24"/>
                <w:szCs w:val="24"/>
                <w:lang w:val="en-GB"/>
              </w:rPr>
              <w:t>00 but not over €60,000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142D56"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3</w:t>
            </w:r>
            <w:r w:rsidR="000A49A1">
              <w:rPr>
                <w:rFonts w:asciiTheme="minorHAnsi" w:hAnsiTheme="minorHAnsi" w:cstheme="minorHAnsi"/>
                <w:sz w:val="24"/>
                <w:szCs w:val="24"/>
                <w:lang w:val="en-GB"/>
              </w:rPr>
              <w: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142D56"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5</w:t>
            </w:r>
            <w:r w:rsidR="000A49A1">
              <w:rPr>
                <w:rFonts w:asciiTheme="minorHAnsi" w:hAnsiTheme="minorHAnsi" w:cstheme="minorHAnsi"/>
                <w:sz w:val="24"/>
                <w:szCs w:val="24"/>
                <w:lang w:val="en-GB"/>
              </w:rPr>
              <w: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8%</w:t>
            </w:r>
          </w:p>
        </w:tc>
      </w:tr>
    </w:tbl>
    <w:p w:rsidR="000A49A1" w:rsidRDefault="000A49A1" w:rsidP="000A49A1">
      <w:pPr>
        <w:contextualSpacing/>
        <w:jc w:val="both"/>
        <w:rPr>
          <w:rFonts w:asciiTheme="minorHAnsi" w:hAnsiTheme="minorHAnsi" w:cstheme="minorHAnsi"/>
        </w:rPr>
      </w:pPr>
    </w:p>
    <w:p w:rsidR="00F770E3" w:rsidRDefault="00F770E3" w:rsidP="00F770E3">
      <w:pPr>
        <w:contextualSpacing/>
        <w:jc w:val="both"/>
        <w:rPr>
          <w:rFonts w:asciiTheme="minorHAnsi" w:hAnsiTheme="minorHAnsi" w:cstheme="minorHAnsi"/>
        </w:rPr>
      </w:pPr>
      <w:r>
        <w:rPr>
          <w:rFonts w:asciiTheme="minorHAnsi" w:hAnsiTheme="minorHAnsi" w:cstheme="minorHAnsi"/>
        </w:rPr>
        <w:t>1 January 2017:</w:t>
      </w:r>
    </w:p>
    <w:tbl>
      <w:tblPr>
        <w:tblStyle w:val="TableGrid"/>
        <w:tblW w:w="0" w:type="auto"/>
        <w:tblLook w:val="01E0" w:firstRow="1" w:lastRow="1" w:firstColumn="1" w:lastColumn="1" w:noHBand="0" w:noVBand="0"/>
      </w:tblPr>
      <w:tblGrid>
        <w:gridCol w:w="5080"/>
        <w:gridCol w:w="2428"/>
      </w:tblGrid>
      <w:tr w:rsidR="000A49A1" w:rsidRPr="009233BB" w:rsidTr="005C12F9">
        <w:tc>
          <w:tcPr>
            <w:tcW w:w="7508" w:type="dxa"/>
            <w:gridSpan w:val="2"/>
            <w:tcBorders>
              <w:top w:val="single" w:sz="4" w:space="0" w:color="auto"/>
              <w:left w:val="single" w:sz="4" w:space="0" w:color="auto"/>
              <w:bottom w:val="single" w:sz="4" w:space="0" w:color="auto"/>
              <w:right w:val="single" w:sz="4" w:space="0" w:color="auto"/>
            </w:tcBorders>
          </w:tcPr>
          <w:p w:rsidR="000A49A1" w:rsidRPr="009233BB" w:rsidRDefault="00DC735D"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TABLE B</w:t>
            </w:r>
            <w:r w:rsidR="00624FC8">
              <w:rPr>
                <w:rFonts w:asciiTheme="minorHAnsi" w:hAnsiTheme="minorHAnsi" w:cstheme="minorHAnsi"/>
                <w:b/>
                <w:sz w:val="24"/>
                <w:szCs w:val="24"/>
                <w:lang w:val="en-GB"/>
              </w:rPr>
              <w:t>3</w:t>
            </w:r>
            <w:r>
              <w:rPr>
                <w:rFonts w:asciiTheme="minorHAnsi" w:hAnsiTheme="minorHAnsi" w:cstheme="minorHAnsi"/>
                <w:b/>
                <w:sz w:val="24"/>
                <w:szCs w:val="24"/>
                <w:lang w:val="en-GB"/>
              </w:rPr>
              <w:t xml:space="preserve"> (Group 3):</w:t>
            </w:r>
            <w:r w:rsidR="000A49A1">
              <w:rPr>
                <w:rFonts w:asciiTheme="minorHAnsi" w:hAnsiTheme="minorHAnsi" w:cstheme="minorHAnsi"/>
                <w:b/>
                <w:sz w:val="24"/>
                <w:szCs w:val="24"/>
                <w:lang w:val="en-GB"/>
              </w:rPr>
              <w:t xml:space="preserve"> </w:t>
            </w:r>
            <w:r w:rsidR="000A49A1" w:rsidRPr="009233BB">
              <w:rPr>
                <w:rFonts w:asciiTheme="minorHAnsi" w:hAnsiTheme="minorHAnsi" w:cstheme="minorHAnsi"/>
                <w:b/>
                <w:sz w:val="24"/>
                <w:szCs w:val="24"/>
                <w:lang w:val="en-GB"/>
              </w:rPr>
              <w:t>PSPR</w:t>
            </w:r>
            <w:r>
              <w:rPr>
                <w:rFonts w:asciiTheme="minorHAnsi" w:hAnsiTheme="minorHAnsi" w:cstheme="minorHAnsi"/>
                <w:b/>
                <w:sz w:val="24"/>
                <w:szCs w:val="24"/>
                <w:lang w:val="en-GB"/>
              </w:rPr>
              <w:t xml:space="preserve"> </w:t>
            </w:r>
            <w:r w:rsidR="000A49A1">
              <w:rPr>
                <w:rFonts w:asciiTheme="minorHAnsi" w:hAnsiTheme="minorHAnsi" w:cstheme="minorHAnsi"/>
                <w:b/>
                <w:sz w:val="24"/>
                <w:szCs w:val="24"/>
                <w:lang w:val="en-GB"/>
              </w:rPr>
              <w:t xml:space="preserve">from </w:t>
            </w:r>
            <w:r w:rsidR="000A49A1" w:rsidRPr="000A49A1">
              <w:rPr>
                <w:rFonts w:asciiTheme="minorHAnsi" w:hAnsiTheme="minorHAnsi" w:cstheme="minorHAnsi"/>
                <w:b/>
                <w:sz w:val="24"/>
                <w:szCs w:val="24"/>
                <w:lang w:val="en-GB"/>
              </w:rPr>
              <w:t>1 January 201</w:t>
            </w:r>
            <w:r w:rsidR="000A49A1">
              <w:rPr>
                <w:rFonts w:asciiTheme="minorHAnsi" w:hAnsiTheme="minorHAnsi" w:cstheme="minorHAnsi"/>
                <w:b/>
                <w:sz w:val="24"/>
                <w:szCs w:val="24"/>
                <w:lang w:val="en-GB"/>
              </w:rPr>
              <w:t>7</w:t>
            </w:r>
            <w:r w:rsidR="000A49A1" w:rsidRPr="000A49A1">
              <w:rPr>
                <w:rFonts w:asciiTheme="minorHAnsi" w:hAnsiTheme="minorHAnsi" w:cstheme="minorHAnsi"/>
                <w:b/>
                <w:sz w:val="24"/>
                <w:szCs w:val="24"/>
                <w:lang w:val="en-GB"/>
              </w:rPr>
              <w:t xml:space="preserve"> to 31 December 201</w:t>
            </w:r>
            <w:r w:rsidR="000A49A1">
              <w:rPr>
                <w:rFonts w:asciiTheme="minorHAnsi" w:hAnsiTheme="minorHAnsi" w:cstheme="minorHAnsi"/>
                <w:b/>
                <w:sz w:val="24"/>
                <w:szCs w:val="24"/>
                <w:lang w:val="en-GB"/>
              </w:rPr>
              <w:t>7</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142D56">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w:t>
            </w:r>
            <w:r w:rsidR="00142D56">
              <w:rPr>
                <w:rFonts w:asciiTheme="minorHAnsi" w:hAnsiTheme="minorHAnsi" w:cstheme="minorHAnsi"/>
                <w:sz w:val="24"/>
                <w:szCs w:val="24"/>
                <w:lang w:val="en-GB"/>
              </w:rPr>
              <w:t>39</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142D56">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w:t>
            </w:r>
            <w:r w:rsidR="00142D56">
              <w:rPr>
                <w:rFonts w:asciiTheme="minorHAnsi" w:hAnsiTheme="minorHAnsi" w:cstheme="minorHAnsi"/>
                <w:sz w:val="24"/>
                <w:szCs w:val="24"/>
                <w:lang w:val="en-GB"/>
              </w:rPr>
              <w:t>39</w:t>
            </w:r>
            <w:r w:rsidRPr="009233BB">
              <w:rPr>
                <w:rFonts w:asciiTheme="minorHAnsi" w:hAnsiTheme="minorHAnsi" w:cstheme="minorHAnsi"/>
                <w:sz w:val="24"/>
                <w:szCs w:val="24"/>
                <w:lang w:val="en-GB"/>
              </w:rPr>
              <w:t>,000 but not over €60,000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142D56"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2</w:t>
            </w:r>
            <w:r w:rsidR="000A49A1">
              <w:rPr>
                <w:rFonts w:asciiTheme="minorHAnsi" w:hAnsiTheme="minorHAnsi" w:cstheme="minorHAnsi"/>
                <w:sz w:val="24"/>
                <w:szCs w:val="24"/>
                <w:lang w:val="en-GB"/>
              </w:rPr>
              <w: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142D56"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5</w:t>
            </w:r>
            <w:r w:rsidR="000A49A1">
              <w:rPr>
                <w:rFonts w:asciiTheme="minorHAnsi" w:hAnsiTheme="minorHAnsi" w:cstheme="minorHAnsi"/>
                <w:sz w:val="24"/>
                <w:szCs w:val="24"/>
                <w:lang w:val="en-GB"/>
              </w:rPr>
              <w: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8%</w:t>
            </w:r>
          </w:p>
        </w:tc>
      </w:tr>
    </w:tbl>
    <w:p w:rsidR="000A49A1" w:rsidRDefault="000A49A1" w:rsidP="000A49A1">
      <w:pPr>
        <w:contextualSpacing/>
        <w:jc w:val="both"/>
        <w:rPr>
          <w:rFonts w:asciiTheme="minorHAnsi" w:hAnsiTheme="minorHAnsi" w:cstheme="minorHAnsi"/>
        </w:rPr>
      </w:pPr>
    </w:p>
    <w:p w:rsidR="00F770E3" w:rsidRDefault="00F770E3" w:rsidP="00F770E3">
      <w:pPr>
        <w:contextualSpacing/>
        <w:jc w:val="both"/>
        <w:rPr>
          <w:rFonts w:asciiTheme="minorHAnsi" w:hAnsiTheme="minorHAnsi" w:cstheme="minorHAnsi"/>
        </w:rPr>
      </w:pPr>
      <w:r>
        <w:rPr>
          <w:rFonts w:asciiTheme="minorHAnsi" w:hAnsiTheme="minorHAnsi" w:cstheme="minorHAnsi"/>
        </w:rPr>
        <w:t>1 January 2018:</w:t>
      </w:r>
    </w:p>
    <w:tbl>
      <w:tblPr>
        <w:tblStyle w:val="TableGrid"/>
        <w:tblW w:w="0" w:type="auto"/>
        <w:tblLook w:val="01E0" w:firstRow="1" w:lastRow="1" w:firstColumn="1" w:lastColumn="1" w:noHBand="0" w:noVBand="0"/>
      </w:tblPr>
      <w:tblGrid>
        <w:gridCol w:w="5080"/>
        <w:gridCol w:w="2428"/>
      </w:tblGrid>
      <w:tr w:rsidR="000A49A1" w:rsidRPr="009233BB" w:rsidTr="005C12F9">
        <w:tc>
          <w:tcPr>
            <w:tcW w:w="7508" w:type="dxa"/>
            <w:gridSpan w:val="2"/>
            <w:tcBorders>
              <w:top w:val="single" w:sz="4" w:space="0" w:color="auto"/>
              <w:left w:val="single" w:sz="4" w:space="0" w:color="auto"/>
              <w:bottom w:val="single" w:sz="4" w:space="0" w:color="auto"/>
              <w:right w:val="single" w:sz="4" w:space="0" w:color="auto"/>
            </w:tcBorders>
          </w:tcPr>
          <w:p w:rsidR="000A49A1" w:rsidRPr="009233BB" w:rsidRDefault="00DC735D" w:rsidP="005C12F9">
            <w:pPr>
              <w:contextualSpacing/>
              <w:jc w:val="center"/>
              <w:rPr>
                <w:rFonts w:asciiTheme="minorHAnsi" w:hAnsiTheme="minorHAnsi" w:cstheme="minorHAnsi"/>
                <w:b/>
                <w:sz w:val="24"/>
                <w:szCs w:val="24"/>
                <w:lang w:val="en-GB"/>
              </w:rPr>
            </w:pPr>
            <w:r>
              <w:rPr>
                <w:rFonts w:asciiTheme="minorHAnsi" w:hAnsiTheme="minorHAnsi" w:cstheme="minorHAnsi"/>
                <w:b/>
                <w:sz w:val="24"/>
                <w:szCs w:val="24"/>
                <w:lang w:val="en-GB"/>
              </w:rPr>
              <w:t>TABLE C</w:t>
            </w:r>
            <w:r w:rsidR="00624FC8">
              <w:rPr>
                <w:rFonts w:asciiTheme="minorHAnsi" w:hAnsiTheme="minorHAnsi" w:cstheme="minorHAnsi"/>
                <w:b/>
                <w:sz w:val="24"/>
                <w:szCs w:val="24"/>
                <w:lang w:val="en-GB"/>
              </w:rPr>
              <w:t>3</w:t>
            </w:r>
            <w:r>
              <w:rPr>
                <w:rFonts w:asciiTheme="minorHAnsi" w:hAnsiTheme="minorHAnsi" w:cstheme="minorHAnsi"/>
                <w:b/>
                <w:sz w:val="24"/>
                <w:szCs w:val="24"/>
                <w:lang w:val="en-GB"/>
              </w:rPr>
              <w:t xml:space="preserve"> (Group 3):</w:t>
            </w:r>
            <w:r w:rsidR="000A49A1">
              <w:rPr>
                <w:rFonts w:asciiTheme="minorHAnsi" w:hAnsiTheme="minorHAnsi" w:cstheme="minorHAnsi"/>
                <w:b/>
                <w:sz w:val="24"/>
                <w:szCs w:val="24"/>
                <w:lang w:val="en-GB"/>
              </w:rPr>
              <w:t xml:space="preserve"> </w:t>
            </w:r>
            <w:r w:rsidR="000A49A1" w:rsidRPr="009233BB">
              <w:rPr>
                <w:rFonts w:asciiTheme="minorHAnsi" w:hAnsiTheme="minorHAnsi" w:cstheme="minorHAnsi"/>
                <w:b/>
                <w:sz w:val="24"/>
                <w:szCs w:val="24"/>
                <w:lang w:val="en-GB"/>
              </w:rPr>
              <w:t>PSPR</w:t>
            </w:r>
            <w:r>
              <w:rPr>
                <w:rFonts w:asciiTheme="minorHAnsi" w:hAnsiTheme="minorHAnsi" w:cstheme="minorHAnsi"/>
                <w:b/>
                <w:sz w:val="24"/>
                <w:szCs w:val="24"/>
                <w:lang w:val="en-GB"/>
              </w:rPr>
              <w:t xml:space="preserve"> </w:t>
            </w:r>
            <w:r w:rsidR="000A49A1">
              <w:rPr>
                <w:rFonts w:asciiTheme="minorHAnsi" w:hAnsiTheme="minorHAnsi" w:cstheme="minorHAnsi"/>
                <w:b/>
                <w:sz w:val="24"/>
                <w:szCs w:val="24"/>
                <w:lang w:val="en-GB"/>
              </w:rPr>
              <w:t xml:space="preserve">from </w:t>
            </w:r>
            <w:r w:rsidR="000A49A1" w:rsidRPr="000A49A1">
              <w:rPr>
                <w:rFonts w:asciiTheme="minorHAnsi" w:hAnsiTheme="minorHAnsi" w:cstheme="minorHAnsi"/>
                <w:b/>
                <w:sz w:val="24"/>
                <w:szCs w:val="24"/>
                <w:lang w:val="en-GB"/>
              </w:rPr>
              <w:t>1 January 201</w:t>
            </w:r>
            <w:r w:rsidR="000A49A1">
              <w:rPr>
                <w:rFonts w:asciiTheme="minorHAnsi" w:hAnsiTheme="minorHAnsi" w:cstheme="minorHAnsi"/>
                <w:b/>
                <w:sz w:val="24"/>
                <w:szCs w:val="24"/>
                <w:lang w:val="en-GB"/>
              </w:rPr>
              <w:t>8</w:t>
            </w:r>
            <w:r w:rsidR="000A49A1" w:rsidRPr="009233BB">
              <w:rPr>
                <w:rFonts w:asciiTheme="minorHAnsi" w:hAnsiTheme="minorHAnsi" w:cstheme="minorHAnsi"/>
                <w:b/>
                <w:sz w:val="24"/>
                <w:szCs w:val="24"/>
                <w:lang w:val="en-GB"/>
              </w:rPr>
              <w:t xml:space="preserve"> </w:t>
            </w:r>
            <w:r w:rsidR="007D6550">
              <w:rPr>
                <w:rFonts w:asciiTheme="minorHAnsi" w:hAnsiTheme="minorHAnsi" w:cstheme="minorHAnsi"/>
                <w:b/>
                <w:sz w:val="24"/>
                <w:szCs w:val="24"/>
                <w:lang w:val="en-GB"/>
              </w:rPr>
              <w:t>onwards</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i/>
                <w:sz w:val="24"/>
                <w:szCs w:val="24"/>
                <w:lang w:val="en-GB"/>
              </w:rPr>
            </w:pPr>
            <w:r w:rsidRPr="009233BB">
              <w:rPr>
                <w:rFonts w:asciiTheme="minorHAnsi" w:hAnsiTheme="minorHAnsi" w:cstheme="minorHAnsi"/>
                <w:i/>
                <w:sz w:val="24"/>
                <w:szCs w:val="24"/>
                <w:lang w:val="en-GB"/>
              </w:rPr>
              <w:t>Annualised amount of public service pension</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i/>
                <w:sz w:val="24"/>
                <w:szCs w:val="24"/>
                <w:lang w:val="en-GB"/>
              </w:rPr>
            </w:pPr>
            <w:r w:rsidRPr="009233BB">
              <w:rPr>
                <w:rFonts w:asciiTheme="minorHAnsi" w:hAnsiTheme="minorHAnsi" w:cstheme="minorHAnsi"/>
                <w:i/>
                <w:sz w:val="24"/>
                <w:szCs w:val="24"/>
                <w:lang w:val="en-GB"/>
              </w:rPr>
              <w:t>Reduction</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142D56">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Up to €</w:t>
            </w:r>
            <w:r w:rsidR="00142D56">
              <w:rPr>
                <w:rFonts w:asciiTheme="minorHAnsi" w:hAnsiTheme="minorHAnsi" w:cstheme="minorHAnsi"/>
                <w:sz w:val="24"/>
                <w:szCs w:val="24"/>
                <w:lang w:val="en-GB"/>
              </w:rPr>
              <w:t>6</w:t>
            </w:r>
            <w:r>
              <w:rPr>
                <w:rFonts w:asciiTheme="minorHAnsi" w:hAnsiTheme="minorHAnsi" w:cstheme="minorHAnsi"/>
                <w:sz w:val="24"/>
                <w:szCs w:val="24"/>
                <w:lang w:val="en-GB"/>
              </w:rPr>
              <w:t>0</w:t>
            </w:r>
            <w:r w:rsidRPr="009233BB">
              <w:rPr>
                <w:rFonts w:asciiTheme="minorHAnsi" w:hAnsiTheme="minorHAnsi" w:cstheme="minorHAnsi"/>
                <w:sz w:val="24"/>
                <w:szCs w:val="24"/>
                <w:lang w:val="en-GB"/>
              </w:rPr>
              <w:t>,000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sidRPr="009233BB">
              <w:rPr>
                <w:rFonts w:asciiTheme="minorHAnsi" w:hAnsiTheme="minorHAnsi" w:cstheme="minorHAnsi"/>
                <w:sz w:val="24"/>
                <w:szCs w:val="24"/>
                <w:lang w:val="en-GB"/>
              </w:rPr>
              <w:t>Exempt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€60,000 but not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142D56"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5</w:t>
            </w:r>
            <w:r w:rsidR="000A49A1">
              <w:rPr>
                <w:rFonts w:asciiTheme="minorHAnsi" w:hAnsiTheme="minorHAnsi" w:cstheme="minorHAnsi"/>
                <w:sz w:val="24"/>
                <w:szCs w:val="24"/>
                <w:lang w:val="en-GB"/>
              </w:rPr>
              <w:t>%</w:t>
            </w:r>
          </w:p>
        </w:tc>
      </w:tr>
      <w:tr w:rsidR="000A49A1" w:rsidRPr="009233BB" w:rsidTr="005C12F9">
        <w:tc>
          <w:tcPr>
            <w:tcW w:w="5080"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both"/>
              <w:rPr>
                <w:rFonts w:asciiTheme="minorHAnsi" w:hAnsiTheme="minorHAnsi" w:cstheme="minorHAnsi"/>
                <w:sz w:val="24"/>
                <w:szCs w:val="24"/>
                <w:lang w:val="en-GB"/>
              </w:rPr>
            </w:pPr>
            <w:r w:rsidRPr="009233BB">
              <w:rPr>
                <w:rFonts w:asciiTheme="minorHAnsi" w:hAnsiTheme="minorHAnsi" w:cstheme="minorHAnsi"/>
                <w:sz w:val="24"/>
                <w:szCs w:val="24"/>
                <w:lang w:val="en-GB"/>
              </w:rPr>
              <w:t>Any amount over €100,000</w:t>
            </w:r>
          </w:p>
        </w:tc>
        <w:tc>
          <w:tcPr>
            <w:tcW w:w="2428" w:type="dxa"/>
            <w:tcBorders>
              <w:top w:val="single" w:sz="4" w:space="0" w:color="auto"/>
              <w:left w:val="single" w:sz="4" w:space="0" w:color="auto"/>
              <w:bottom w:val="single" w:sz="4" w:space="0" w:color="auto"/>
              <w:right w:val="single" w:sz="4" w:space="0" w:color="auto"/>
            </w:tcBorders>
            <w:hideMark/>
          </w:tcPr>
          <w:p w:rsidR="000A49A1" w:rsidRPr="009233BB" w:rsidRDefault="000A49A1" w:rsidP="009F5BD4">
            <w:pPr>
              <w:contextualSpacing/>
              <w:jc w:val="center"/>
              <w:rPr>
                <w:rFonts w:asciiTheme="minorHAnsi" w:hAnsiTheme="minorHAnsi" w:cstheme="minorHAnsi"/>
                <w:sz w:val="24"/>
                <w:szCs w:val="24"/>
                <w:lang w:val="en-GB"/>
              </w:rPr>
            </w:pPr>
            <w:r>
              <w:rPr>
                <w:rFonts w:asciiTheme="minorHAnsi" w:hAnsiTheme="minorHAnsi" w:cstheme="minorHAnsi"/>
                <w:sz w:val="24"/>
                <w:szCs w:val="24"/>
                <w:lang w:val="en-GB"/>
              </w:rPr>
              <w:t>8%</w:t>
            </w:r>
          </w:p>
        </w:tc>
      </w:tr>
    </w:tbl>
    <w:p w:rsidR="000A49A1" w:rsidRDefault="000A49A1" w:rsidP="000A49A1">
      <w:pPr>
        <w:contextualSpacing/>
        <w:jc w:val="both"/>
        <w:rPr>
          <w:rFonts w:asciiTheme="minorHAnsi" w:hAnsiTheme="minorHAnsi" w:cstheme="minorHAnsi"/>
        </w:rPr>
      </w:pPr>
    </w:p>
    <w:p w:rsidR="0088291D" w:rsidRDefault="0088291D" w:rsidP="0088291D">
      <w:pPr>
        <w:contextualSpacing/>
        <w:jc w:val="both"/>
        <w:rPr>
          <w:rFonts w:asciiTheme="minorHAnsi" w:hAnsiTheme="minorHAnsi" w:cstheme="minorHAnsi"/>
        </w:rPr>
      </w:pPr>
      <w:r w:rsidRPr="004A0F62">
        <w:rPr>
          <w:rFonts w:asciiTheme="minorHAnsi" w:hAnsiTheme="minorHAnsi" w:cstheme="minorHAnsi"/>
          <w:b/>
        </w:rPr>
        <w:lastRenderedPageBreak/>
        <w:t>Application</w:t>
      </w:r>
      <w:r>
        <w:rPr>
          <w:rFonts w:asciiTheme="minorHAnsi" w:hAnsiTheme="minorHAnsi" w:cstheme="minorHAnsi"/>
          <w:b/>
        </w:rPr>
        <w:t xml:space="preserve"> of above Group 3 tables</w:t>
      </w:r>
      <w:r w:rsidRPr="004A0F62">
        <w:rPr>
          <w:rFonts w:asciiTheme="minorHAnsi" w:hAnsiTheme="minorHAnsi" w:cstheme="minorHAnsi"/>
          <w:b/>
        </w:rPr>
        <w:t>:</w:t>
      </w:r>
      <w:r>
        <w:rPr>
          <w:rFonts w:asciiTheme="minorHAnsi" w:hAnsiTheme="minorHAnsi" w:cstheme="minorHAnsi"/>
        </w:rPr>
        <w:t xml:space="preserve"> </w:t>
      </w:r>
    </w:p>
    <w:p w:rsidR="00AC1266" w:rsidRDefault="00AC1266" w:rsidP="0088291D">
      <w:pPr>
        <w:contextualSpacing/>
        <w:jc w:val="both"/>
        <w:rPr>
          <w:rFonts w:asciiTheme="minorHAnsi" w:hAnsiTheme="minorHAnsi" w:cstheme="minorHAnsi"/>
        </w:rPr>
      </w:pPr>
    </w:p>
    <w:p w:rsidR="0088291D" w:rsidRDefault="0088291D" w:rsidP="0088291D">
      <w:pPr>
        <w:contextualSpacing/>
        <w:jc w:val="both"/>
        <w:rPr>
          <w:rFonts w:asciiTheme="minorHAnsi" w:hAnsiTheme="minorHAnsi" w:cstheme="minorHAnsi"/>
        </w:rPr>
      </w:pPr>
      <w:r>
        <w:rPr>
          <w:rFonts w:asciiTheme="minorHAnsi" w:hAnsiTheme="minorHAnsi" w:cstheme="minorHAnsi"/>
        </w:rPr>
        <w:t xml:space="preserve">These tables above should be applied exactly as written for all Group </w:t>
      </w:r>
      <w:r w:rsidR="008469B6">
        <w:rPr>
          <w:rFonts w:asciiTheme="minorHAnsi" w:hAnsiTheme="minorHAnsi" w:cstheme="minorHAnsi"/>
        </w:rPr>
        <w:t>3</w:t>
      </w:r>
      <w:r>
        <w:rPr>
          <w:rFonts w:asciiTheme="minorHAnsi" w:hAnsiTheme="minorHAnsi" w:cstheme="minorHAnsi"/>
        </w:rPr>
        <w:t xml:space="preserve"> pensions.</w:t>
      </w:r>
    </w:p>
    <w:p w:rsidR="004568FE" w:rsidRDefault="004568FE" w:rsidP="00885071">
      <w:pPr>
        <w:contextualSpacing/>
        <w:jc w:val="both"/>
        <w:rPr>
          <w:rFonts w:asciiTheme="minorHAnsi" w:hAnsiTheme="minorHAnsi" w:cstheme="minorHAnsi"/>
          <w:b/>
        </w:rPr>
      </w:pPr>
    </w:p>
    <w:p w:rsidR="00B70910" w:rsidRPr="00FB573B" w:rsidRDefault="0045641E" w:rsidP="00885071">
      <w:pPr>
        <w:contextualSpacing/>
        <w:jc w:val="both"/>
        <w:rPr>
          <w:rFonts w:asciiTheme="minorHAnsi" w:hAnsiTheme="minorHAnsi" w:cstheme="minorHAnsi"/>
          <w:b/>
        </w:rPr>
      </w:pPr>
      <w:r>
        <w:rPr>
          <w:rFonts w:asciiTheme="minorHAnsi" w:hAnsiTheme="minorHAnsi" w:cstheme="minorHAnsi"/>
          <w:b/>
        </w:rPr>
        <w:t xml:space="preserve">Pension awards for new </w:t>
      </w:r>
      <w:r w:rsidR="006F1F40">
        <w:rPr>
          <w:rFonts w:asciiTheme="minorHAnsi" w:hAnsiTheme="minorHAnsi" w:cstheme="minorHAnsi"/>
          <w:b/>
        </w:rPr>
        <w:t xml:space="preserve">retirees, </w:t>
      </w:r>
      <w:r w:rsidR="00E748DE" w:rsidRPr="00FB573B">
        <w:rPr>
          <w:rFonts w:asciiTheme="minorHAnsi" w:hAnsiTheme="minorHAnsi" w:cstheme="minorHAnsi"/>
          <w:b/>
        </w:rPr>
        <w:t>FEMPI 2013 grace period</w:t>
      </w:r>
    </w:p>
    <w:p w:rsidR="00E748DE" w:rsidRDefault="00E748DE" w:rsidP="00885071">
      <w:pPr>
        <w:contextualSpacing/>
        <w:jc w:val="both"/>
        <w:rPr>
          <w:rFonts w:asciiTheme="minorHAnsi" w:hAnsiTheme="minorHAnsi" w:cstheme="minorHAnsi"/>
        </w:rPr>
      </w:pPr>
    </w:p>
    <w:p w:rsidR="00455B1C" w:rsidRDefault="005A6983" w:rsidP="0000410E">
      <w:pPr>
        <w:contextualSpacing/>
        <w:jc w:val="both"/>
        <w:rPr>
          <w:rFonts w:asciiTheme="minorHAnsi" w:hAnsiTheme="minorHAnsi" w:cstheme="minorHAnsi"/>
        </w:rPr>
      </w:pPr>
      <w:r>
        <w:rPr>
          <w:rFonts w:asciiTheme="minorHAnsi" w:hAnsiTheme="minorHAnsi" w:cstheme="minorHAnsi"/>
        </w:rPr>
        <w:t>9</w:t>
      </w:r>
      <w:r w:rsidR="00E748DE">
        <w:rPr>
          <w:rFonts w:asciiTheme="minorHAnsi" w:hAnsiTheme="minorHAnsi" w:cstheme="minorHAnsi"/>
        </w:rPr>
        <w:t xml:space="preserve">. A </w:t>
      </w:r>
      <w:r w:rsidR="006F1F40">
        <w:rPr>
          <w:rFonts w:asciiTheme="minorHAnsi" w:hAnsiTheme="minorHAnsi" w:cstheme="minorHAnsi"/>
        </w:rPr>
        <w:t xml:space="preserve">second </w:t>
      </w:r>
      <w:r w:rsidR="00FF04A0">
        <w:rPr>
          <w:rFonts w:asciiTheme="minorHAnsi" w:hAnsiTheme="minorHAnsi" w:cstheme="minorHAnsi"/>
        </w:rPr>
        <w:t>grace period</w:t>
      </w:r>
      <w:r w:rsidR="00477F2D">
        <w:rPr>
          <w:rFonts w:asciiTheme="minorHAnsi" w:hAnsiTheme="minorHAnsi" w:cstheme="minorHAnsi"/>
        </w:rPr>
        <w:t xml:space="preserve"> is </w:t>
      </w:r>
      <w:r w:rsidR="00FB573B">
        <w:rPr>
          <w:rFonts w:asciiTheme="minorHAnsi" w:hAnsiTheme="minorHAnsi" w:cstheme="minorHAnsi"/>
        </w:rPr>
        <w:t xml:space="preserve">provided for under </w:t>
      </w:r>
      <w:r w:rsidR="002A1890">
        <w:rPr>
          <w:rFonts w:asciiTheme="minorHAnsi" w:hAnsiTheme="minorHAnsi" w:cstheme="minorHAnsi"/>
        </w:rPr>
        <w:t xml:space="preserve">section </w:t>
      </w:r>
      <w:r w:rsidR="002A1890" w:rsidRPr="002A1890">
        <w:rPr>
          <w:rFonts w:asciiTheme="minorHAnsi" w:hAnsiTheme="minorHAnsi" w:cstheme="minorHAnsi"/>
        </w:rPr>
        <w:t xml:space="preserve">9 </w:t>
      </w:r>
      <w:r w:rsidR="002A1890">
        <w:rPr>
          <w:rFonts w:asciiTheme="minorHAnsi" w:hAnsiTheme="minorHAnsi" w:cstheme="minorHAnsi"/>
        </w:rPr>
        <w:t xml:space="preserve">of </w:t>
      </w:r>
      <w:r w:rsidR="00FB573B">
        <w:rPr>
          <w:rFonts w:asciiTheme="minorHAnsi" w:hAnsiTheme="minorHAnsi" w:cstheme="minorHAnsi"/>
        </w:rPr>
        <w:t>FEMPI 2013</w:t>
      </w:r>
      <w:r w:rsidR="00477F2D">
        <w:rPr>
          <w:rFonts w:asciiTheme="minorHAnsi" w:hAnsiTheme="minorHAnsi" w:cstheme="minorHAnsi"/>
        </w:rPr>
        <w:t xml:space="preserve">. It </w:t>
      </w:r>
      <w:r w:rsidR="00614436">
        <w:rPr>
          <w:rFonts w:asciiTheme="minorHAnsi" w:hAnsiTheme="minorHAnsi" w:cstheme="minorHAnsi"/>
        </w:rPr>
        <w:t>began</w:t>
      </w:r>
      <w:r w:rsidR="00E748DE">
        <w:rPr>
          <w:rFonts w:asciiTheme="minorHAnsi" w:hAnsiTheme="minorHAnsi" w:cstheme="minorHAnsi"/>
        </w:rPr>
        <w:t xml:space="preserve"> </w:t>
      </w:r>
      <w:r w:rsidR="006A3013">
        <w:rPr>
          <w:rFonts w:asciiTheme="minorHAnsi" w:hAnsiTheme="minorHAnsi" w:cstheme="minorHAnsi"/>
        </w:rPr>
        <w:t>on 1 July 2013</w:t>
      </w:r>
      <w:r w:rsidR="00FF04A0">
        <w:rPr>
          <w:rFonts w:asciiTheme="minorHAnsi" w:hAnsiTheme="minorHAnsi" w:cstheme="minorHAnsi"/>
        </w:rPr>
        <w:t xml:space="preserve">, and is due to end on 1 April 2019, having been extended to that date by the Minister for </w:t>
      </w:r>
      <w:r w:rsidR="00543CA3">
        <w:rPr>
          <w:rFonts w:asciiTheme="minorHAnsi" w:hAnsiTheme="minorHAnsi" w:cstheme="minorHAnsi"/>
        </w:rPr>
        <w:t>Public Expenditure and Reform</w:t>
      </w:r>
      <w:r w:rsidR="00FF04A0">
        <w:rPr>
          <w:rFonts w:asciiTheme="minorHAnsi" w:hAnsiTheme="minorHAnsi" w:cstheme="minorHAnsi"/>
        </w:rPr>
        <w:t xml:space="preserve"> (</w:t>
      </w:r>
      <w:r w:rsidR="00A71948">
        <w:rPr>
          <w:rFonts w:asciiTheme="minorHAnsi" w:hAnsiTheme="minorHAnsi" w:cstheme="minorHAnsi"/>
        </w:rPr>
        <w:t>S.I. No. 547/2015 –</w:t>
      </w:r>
      <w:r w:rsidR="00A71948" w:rsidRPr="00A430FE">
        <w:rPr>
          <w:rFonts w:asciiTheme="minorHAnsi" w:hAnsiTheme="minorHAnsi" w:cstheme="minorHAnsi"/>
        </w:rPr>
        <w:t xml:space="preserve"> </w:t>
      </w:r>
      <w:r w:rsidR="00FF04A0">
        <w:rPr>
          <w:rFonts w:asciiTheme="minorHAnsi" w:hAnsiTheme="minorHAnsi" w:cstheme="minorHAnsi"/>
        </w:rPr>
        <w:t>Public Service Pensions Rights (No. 2) Order 2015).</w:t>
      </w:r>
      <w:r w:rsidR="00E748DE">
        <w:rPr>
          <w:rFonts w:asciiTheme="minorHAnsi" w:hAnsiTheme="minorHAnsi" w:cstheme="minorHAnsi"/>
        </w:rPr>
        <w:t xml:space="preserve"> </w:t>
      </w:r>
    </w:p>
    <w:p w:rsidR="00455B1C" w:rsidRDefault="00455B1C" w:rsidP="0000410E">
      <w:pPr>
        <w:contextualSpacing/>
        <w:jc w:val="both"/>
        <w:rPr>
          <w:rFonts w:asciiTheme="minorHAnsi" w:hAnsiTheme="minorHAnsi" w:cstheme="minorHAnsi"/>
        </w:rPr>
      </w:pPr>
    </w:p>
    <w:p w:rsidR="00E629F9" w:rsidRDefault="001C5DE0" w:rsidP="00885071">
      <w:pPr>
        <w:contextualSpacing/>
        <w:jc w:val="both"/>
        <w:rPr>
          <w:rFonts w:asciiTheme="minorHAnsi" w:hAnsiTheme="minorHAnsi" w:cstheme="minorHAnsi"/>
        </w:rPr>
      </w:pPr>
      <w:r>
        <w:rPr>
          <w:rFonts w:asciiTheme="minorHAnsi" w:hAnsiTheme="minorHAnsi" w:cstheme="minorHAnsi"/>
        </w:rPr>
        <w:t>1</w:t>
      </w:r>
      <w:r w:rsidR="005A6983">
        <w:rPr>
          <w:rFonts w:asciiTheme="minorHAnsi" w:hAnsiTheme="minorHAnsi" w:cstheme="minorHAnsi"/>
        </w:rPr>
        <w:t>0</w:t>
      </w:r>
      <w:r w:rsidR="00874E55">
        <w:rPr>
          <w:rFonts w:asciiTheme="minorHAnsi" w:hAnsiTheme="minorHAnsi" w:cstheme="minorHAnsi"/>
        </w:rPr>
        <w:t xml:space="preserve">. </w:t>
      </w:r>
      <w:r w:rsidR="002A1890">
        <w:rPr>
          <w:rFonts w:asciiTheme="minorHAnsi" w:hAnsiTheme="minorHAnsi" w:cstheme="minorHAnsi"/>
        </w:rPr>
        <w:t>P</w:t>
      </w:r>
      <w:r w:rsidR="002A1890" w:rsidRPr="002A1890">
        <w:rPr>
          <w:rFonts w:asciiTheme="minorHAnsi" w:hAnsiTheme="minorHAnsi" w:cstheme="minorHAnsi"/>
        </w:rPr>
        <w:t xml:space="preserve">ublic servants who retire </w:t>
      </w:r>
      <w:r w:rsidR="00FA030D">
        <w:rPr>
          <w:rFonts w:asciiTheme="minorHAnsi" w:hAnsiTheme="minorHAnsi" w:cstheme="minorHAnsi"/>
        </w:rPr>
        <w:t>d</w:t>
      </w:r>
      <w:r w:rsidR="00E748DE">
        <w:rPr>
          <w:rFonts w:asciiTheme="minorHAnsi" w:hAnsiTheme="minorHAnsi" w:cstheme="minorHAnsi"/>
        </w:rPr>
        <w:t>uring th</w:t>
      </w:r>
      <w:r w:rsidR="00455B1C">
        <w:rPr>
          <w:rFonts w:asciiTheme="minorHAnsi" w:hAnsiTheme="minorHAnsi" w:cstheme="minorHAnsi"/>
        </w:rPr>
        <w:t xml:space="preserve">is extended </w:t>
      </w:r>
      <w:r w:rsidR="00F770E3">
        <w:rPr>
          <w:rFonts w:asciiTheme="minorHAnsi" w:hAnsiTheme="minorHAnsi" w:cstheme="minorHAnsi"/>
        </w:rPr>
        <w:t xml:space="preserve">FEMPI 2013 </w:t>
      </w:r>
      <w:r w:rsidR="00E748DE">
        <w:rPr>
          <w:rFonts w:asciiTheme="minorHAnsi" w:hAnsiTheme="minorHAnsi" w:cstheme="minorHAnsi"/>
        </w:rPr>
        <w:t xml:space="preserve">grace period </w:t>
      </w:r>
      <w:r w:rsidR="00455B1C">
        <w:rPr>
          <w:rFonts w:asciiTheme="minorHAnsi" w:hAnsiTheme="minorHAnsi" w:cstheme="minorHAnsi"/>
        </w:rPr>
        <w:t>may benefit</w:t>
      </w:r>
      <w:r w:rsidR="005E79A9">
        <w:rPr>
          <w:rFonts w:asciiTheme="minorHAnsi" w:hAnsiTheme="minorHAnsi" w:cstheme="minorHAnsi"/>
        </w:rPr>
        <w:t xml:space="preserve"> from i</w:t>
      </w:r>
      <w:r w:rsidR="0075227A">
        <w:rPr>
          <w:rFonts w:asciiTheme="minorHAnsi" w:hAnsiTheme="minorHAnsi" w:cstheme="minorHAnsi"/>
        </w:rPr>
        <w:t xml:space="preserve">t </w:t>
      </w:r>
      <w:r w:rsidR="00AC1266">
        <w:rPr>
          <w:rFonts w:asciiTheme="minorHAnsi" w:hAnsiTheme="minorHAnsi" w:cstheme="minorHAnsi"/>
        </w:rPr>
        <w:t>in two ways, by having their p</w:t>
      </w:r>
      <w:r w:rsidR="002A1890" w:rsidRPr="002A1890">
        <w:rPr>
          <w:rFonts w:asciiTheme="minorHAnsi" w:hAnsiTheme="minorHAnsi" w:cstheme="minorHAnsi"/>
        </w:rPr>
        <w:t>ension</w:t>
      </w:r>
      <w:r w:rsidR="00FA030D">
        <w:rPr>
          <w:rFonts w:asciiTheme="minorHAnsi" w:hAnsiTheme="minorHAnsi" w:cstheme="minorHAnsi"/>
        </w:rPr>
        <w:t>s</w:t>
      </w:r>
      <w:r w:rsidR="002A1890" w:rsidRPr="002A1890">
        <w:rPr>
          <w:rFonts w:asciiTheme="minorHAnsi" w:hAnsiTheme="minorHAnsi" w:cstheme="minorHAnsi"/>
        </w:rPr>
        <w:t xml:space="preserve"> and </w:t>
      </w:r>
      <w:r w:rsidR="00FA030D">
        <w:rPr>
          <w:rFonts w:asciiTheme="minorHAnsi" w:hAnsiTheme="minorHAnsi" w:cstheme="minorHAnsi"/>
        </w:rPr>
        <w:t xml:space="preserve">retirement </w:t>
      </w:r>
      <w:r w:rsidR="002A1890" w:rsidRPr="002A1890">
        <w:rPr>
          <w:rFonts w:asciiTheme="minorHAnsi" w:hAnsiTheme="minorHAnsi" w:cstheme="minorHAnsi"/>
        </w:rPr>
        <w:t>lump sum</w:t>
      </w:r>
      <w:r w:rsidR="00FA030D">
        <w:rPr>
          <w:rFonts w:asciiTheme="minorHAnsi" w:hAnsiTheme="minorHAnsi" w:cstheme="minorHAnsi"/>
        </w:rPr>
        <w:t>s</w:t>
      </w:r>
      <w:r w:rsidR="002A1890" w:rsidRPr="002A1890">
        <w:rPr>
          <w:rFonts w:asciiTheme="minorHAnsi" w:hAnsiTheme="minorHAnsi" w:cstheme="minorHAnsi"/>
        </w:rPr>
        <w:t xml:space="preserve"> </w:t>
      </w:r>
      <w:r w:rsidR="005F4CC5">
        <w:rPr>
          <w:rFonts w:asciiTheme="minorHAnsi" w:hAnsiTheme="minorHAnsi" w:cstheme="minorHAnsi"/>
        </w:rPr>
        <w:t>calculated</w:t>
      </w:r>
    </w:p>
    <w:p w:rsidR="00E629F9" w:rsidRDefault="00E629F9" w:rsidP="00885071">
      <w:pPr>
        <w:contextualSpacing/>
        <w:jc w:val="both"/>
        <w:rPr>
          <w:rFonts w:asciiTheme="minorHAnsi" w:hAnsiTheme="minorHAnsi" w:cstheme="minorHAnsi"/>
        </w:rPr>
      </w:pPr>
    </w:p>
    <w:p w:rsidR="00FA030D" w:rsidRPr="00F126E1" w:rsidRDefault="002A1890" w:rsidP="00447D17">
      <w:pPr>
        <w:pStyle w:val="ListParagraph"/>
        <w:numPr>
          <w:ilvl w:val="0"/>
          <w:numId w:val="4"/>
        </w:numPr>
        <w:jc w:val="both"/>
        <w:rPr>
          <w:rFonts w:asciiTheme="minorHAnsi" w:hAnsiTheme="minorHAnsi" w:cstheme="minorHAnsi"/>
        </w:rPr>
      </w:pPr>
      <w:r w:rsidRPr="00F126E1">
        <w:rPr>
          <w:rFonts w:asciiTheme="minorHAnsi" w:hAnsiTheme="minorHAnsi" w:cstheme="minorHAnsi"/>
        </w:rPr>
        <w:t xml:space="preserve">by reference </w:t>
      </w:r>
      <w:r w:rsidR="005F4CC5">
        <w:rPr>
          <w:rFonts w:asciiTheme="minorHAnsi" w:hAnsiTheme="minorHAnsi" w:cstheme="minorHAnsi"/>
        </w:rPr>
        <w:t xml:space="preserve">to salary rates </w:t>
      </w:r>
      <w:r w:rsidR="005F4CC5" w:rsidRPr="000B4F9A">
        <w:rPr>
          <w:rFonts w:asciiTheme="minorHAnsi" w:hAnsiTheme="minorHAnsi" w:cstheme="minorHAnsi"/>
          <w:b/>
        </w:rPr>
        <w:t>which discount</w:t>
      </w:r>
      <w:r w:rsidR="005F4CC5">
        <w:rPr>
          <w:rFonts w:asciiTheme="minorHAnsi" w:hAnsiTheme="minorHAnsi" w:cstheme="minorHAnsi"/>
          <w:b/>
        </w:rPr>
        <w:t xml:space="preserve"> any impact of the FEMPI </w:t>
      </w:r>
      <w:r w:rsidR="005F4CC5" w:rsidRPr="000B4F9A">
        <w:rPr>
          <w:rFonts w:asciiTheme="minorHAnsi" w:hAnsiTheme="minorHAnsi" w:cstheme="minorHAnsi"/>
          <w:b/>
        </w:rPr>
        <w:t xml:space="preserve">2013 </w:t>
      </w:r>
      <w:r w:rsidR="005F4CC5">
        <w:rPr>
          <w:rFonts w:asciiTheme="minorHAnsi" w:hAnsiTheme="minorHAnsi" w:cstheme="minorHAnsi"/>
          <w:b/>
        </w:rPr>
        <w:t>salary c</w:t>
      </w:r>
      <w:r w:rsidR="005F4CC5" w:rsidRPr="000B4F9A">
        <w:rPr>
          <w:rFonts w:asciiTheme="minorHAnsi" w:hAnsiTheme="minorHAnsi" w:cstheme="minorHAnsi"/>
          <w:b/>
        </w:rPr>
        <w:t xml:space="preserve">uts </w:t>
      </w:r>
      <w:r w:rsidRPr="00F126E1">
        <w:rPr>
          <w:rFonts w:asciiTheme="minorHAnsi" w:hAnsiTheme="minorHAnsi" w:cstheme="minorHAnsi"/>
        </w:rPr>
        <w:t>(</w:t>
      </w:r>
      <w:r w:rsidR="005F4CC5">
        <w:rPr>
          <w:rFonts w:asciiTheme="minorHAnsi" w:hAnsiTheme="minorHAnsi" w:cstheme="minorHAnsi"/>
        </w:rPr>
        <w:t xml:space="preserve">those cuts applied above the </w:t>
      </w:r>
      <w:r w:rsidRPr="00F126E1">
        <w:rPr>
          <w:rFonts w:asciiTheme="minorHAnsi" w:hAnsiTheme="minorHAnsi" w:cstheme="minorHAnsi"/>
        </w:rPr>
        <w:t>€65,000</w:t>
      </w:r>
      <w:r w:rsidR="005F4CC5">
        <w:rPr>
          <w:rFonts w:asciiTheme="minorHAnsi" w:hAnsiTheme="minorHAnsi" w:cstheme="minorHAnsi"/>
        </w:rPr>
        <w:t xml:space="preserve"> level</w:t>
      </w:r>
      <w:r w:rsidR="00455B1C" w:rsidRPr="00F126E1">
        <w:rPr>
          <w:rFonts w:asciiTheme="minorHAnsi" w:hAnsiTheme="minorHAnsi" w:cstheme="minorHAnsi"/>
        </w:rPr>
        <w:t>)</w:t>
      </w:r>
      <w:r w:rsidR="005F4CC5">
        <w:rPr>
          <w:rFonts w:asciiTheme="minorHAnsi" w:hAnsiTheme="minorHAnsi" w:cstheme="minorHAnsi"/>
        </w:rPr>
        <w:t>;</w:t>
      </w:r>
    </w:p>
    <w:p w:rsidR="00FA030D" w:rsidRDefault="00FA030D" w:rsidP="00FA030D">
      <w:pPr>
        <w:contextualSpacing/>
        <w:jc w:val="both"/>
        <w:rPr>
          <w:rFonts w:asciiTheme="minorHAnsi" w:hAnsiTheme="minorHAnsi" w:cstheme="minorHAnsi"/>
        </w:rPr>
      </w:pPr>
    </w:p>
    <w:p w:rsidR="00E629F9" w:rsidRPr="00F126E1" w:rsidRDefault="00E629F9" w:rsidP="00447D17">
      <w:pPr>
        <w:pStyle w:val="ListParagraph"/>
        <w:numPr>
          <w:ilvl w:val="0"/>
          <w:numId w:val="4"/>
        </w:numPr>
        <w:jc w:val="both"/>
        <w:rPr>
          <w:rFonts w:asciiTheme="minorHAnsi" w:hAnsiTheme="minorHAnsi" w:cstheme="minorHAnsi"/>
        </w:rPr>
      </w:pPr>
      <w:r w:rsidRPr="00F126E1">
        <w:rPr>
          <w:rFonts w:asciiTheme="minorHAnsi" w:hAnsiTheme="minorHAnsi" w:cstheme="minorHAnsi"/>
        </w:rPr>
        <w:t xml:space="preserve">in a </w:t>
      </w:r>
      <w:r w:rsidR="00C5597F">
        <w:rPr>
          <w:rFonts w:asciiTheme="minorHAnsi" w:hAnsiTheme="minorHAnsi" w:cstheme="minorHAnsi"/>
        </w:rPr>
        <w:t xml:space="preserve">manner </w:t>
      </w:r>
      <w:r w:rsidRPr="00F126E1">
        <w:rPr>
          <w:rFonts w:asciiTheme="minorHAnsi" w:hAnsiTheme="minorHAnsi" w:cstheme="minorHAnsi"/>
        </w:rPr>
        <w:t xml:space="preserve">which discounts the effect of any </w:t>
      </w:r>
      <w:r w:rsidR="0075227A">
        <w:rPr>
          <w:rFonts w:asciiTheme="minorHAnsi" w:hAnsiTheme="minorHAnsi" w:cstheme="minorHAnsi"/>
        </w:rPr>
        <w:t xml:space="preserve">FEMPI 2013 </w:t>
      </w:r>
      <w:r w:rsidRPr="00F126E1">
        <w:rPr>
          <w:rFonts w:asciiTheme="minorHAnsi" w:hAnsiTheme="minorHAnsi" w:cstheme="minorHAnsi"/>
        </w:rPr>
        <w:t>suspension of the operation of a pay scale (</w:t>
      </w:r>
      <w:r w:rsidRPr="005E79A9">
        <w:rPr>
          <w:rFonts w:asciiTheme="minorHAnsi" w:hAnsiTheme="minorHAnsi" w:cstheme="minorHAnsi"/>
          <w:b/>
        </w:rPr>
        <w:t>increment freeze or delay</w:t>
      </w:r>
      <w:r w:rsidRPr="00F126E1">
        <w:rPr>
          <w:rFonts w:asciiTheme="minorHAnsi" w:hAnsiTheme="minorHAnsi" w:cstheme="minorHAnsi"/>
        </w:rPr>
        <w:t>)</w:t>
      </w:r>
      <w:r w:rsidR="00F126E1">
        <w:rPr>
          <w:rFonts w:asciiTheme="minorHAnsi" w:hAnsiTheme="minorHAnsi" w:cstheme="minorHAnsi"/>
        </w:rPr>
        <w:t>.</w:t>
      </w:r>
    </w:p>
    <w:p w:rsidR="0075227A" w:rsidRDefault="0075227A" w:rsidP="0075227A">
      <w:pPr>
        <w:contextualSpacing/>
        <w:jc w:val="both"/>
        <w:rPr>
          <w:rFonts w:asciiTheme="minorHAnsi" w:hAnsiTheme="minorHAnsi" w:cstheme="minorHAnsi"/>
        </w:rPr>
      </w:pPr>
    </w:p>
    <w:p w:rsidR="0075227A" w:rsidRPr="005F4CC5" w:rsidRDefault="005F4CC5" w:rsidP="005F4CC5">
      <w:pPr>
        <w:jc w:val="both"/>
        <w:rPr>
          <w:rFonts w:asciiTheme="minorHAnsi" w:hAnsiTheme="minorHAnsi" w:cstheme="minorHAnsi"/>
        </w:rPr>
      </w:pPr>
      <w:r>
        <w:rPr>
          <w:rFonts w:asciiTheme="minorHAnsi" w:hAnsiTheme="minorHAnsi" w:cstheme="minorHAnsi"/>
        </w:rPr>
        <w:t>1</w:t>
      </w:r>
      <w:r w:rsidR="005A6983">
        <w:rPr>
          <w:rFonts w:asciiTheme="minorHAnsi" w:hAnsiTheme="minorHAnsi" w:cstheme="minorHAnsi"/>
        </w:rPr>
        <w:t>1</w:t>
      </w:r>
      <w:r w:rsidR="00014FA7">
        <w:rPr>
          <w:rFonts w:asciiTheme="minorHAnsi" w:hAnsiTheme="minorHAnsi" w:cstheme="minorHAnsi"/>
        </w:rPr>
        <w:t>.</w:t>
      </w:r>
      <w:r>
        <w:rPr>
          <w:rFonts w:asciiTheme="minorHAnsi" w:hAnsiTheme="minorHAnsi" w:cstheme="minorHAnsi"/>
        </w:rPr>
        <w:t xml:space="preserve"> </w:t>
      </w:r>
      <w:r w:rsidR="0075227A" w:rsidRPr="005F4CC5">
        <w:rPr>
          <w:rFonts w:asciiTheme="minorHAnsi" w:hAnsiTheme="minorHAnsi" w:cstheme="minorHAnsi"/>
        </w:rPr>
        <w:t>This concessionary basis of pension award—</w:t>
      </w:r>
      <w:r w:rsidR="0075227A" w:rsidRPr="005F4CC5">
        <w:rPr>
          <w:rFonts w:asciiTheme="minorHAnsi" w:hAnsiTheme="minorHAnsi" w:cstheme="minorHAnsi"/>
          <w:b/>
        </w:rPr>
        <w:t xml:space="preserve">pensionable pay for benefitting persons who retire </w:t>
      </w:r>
      <w:r w:rsidR="00F85083">
        <w:rPr>
          <w:rFonts w:asciiTheme="minorHAnsi" w:hAnsiTheme="minorHAnsi" w:cstheme="minorHAnsi"/>
          <w:b/>
        </w:rPr>
        <w:t>set</w:t>
      </w:r>
      <w:r w:rsidR="0075227A" w:rsidRPr="005F4CC5">
        <w:rPr>
          <w:rFonts w:asciiTheme="minorHAnsi" w:hAnsiTheme="minorHAnsi" w:cstheme="minorHAnsi"/>
          <w:b/>
        </w:rPr>
        <w:t xml:space="preserve"> higher than actual retirement-time pay</w:t>
      </w:r>
      <w:r w:rsidR="0075227A" w:rsidRPr="005F4CC5">
        <w:rPr>
          <w:rFonts w:asciiTheme="minorHAnsi" w:hAnsiTheme="minorHAnsi" w:cstheme="minorHAnsi"/>
        </w:rPr>
        <w:t xml:space="preserve">—is what defines the </w:t>
      </w:r>
      <w:r>
        <w:rPr>
          <w:rFonts w:asciiTheme="minorHAnsi" w:hAnsiTheme="minorHAnsi" w:cstheme="minorHAnsi"/>
        </w:rPr>
        <w:t>current (</w:t>
      </w:r>
      <w:r w:rsidR="0075227A" w:rsidRPr="005F4CC5">
        <w:rPr>
          <w:rFonts w:asciiTheme="minorHAnsi" w:hAnsiTheme="minorHAnsi" w:cstheme="minorHAnsi"/>
        </w:rPr>
        <w:t>FEMPI 2013</w:t>
      </w:r>
      <w:r>
        <w:rPr>
          <w:rFonts w:asciiTheme="minorHAnsi" w:hAnsiTheme="minorHAnsi" w:cstheme="minorHAnsi"/>
        </w:rPr>
        <w:t>)</w:t>
      </w:r>
      <w:r w:rsidR="0075227A" w:rsidRPr="005F4CC5">
        <w:rPr>
          <w:rFonts w:asciiTheme="minorHAnsi" w:hAnsiTheme="minorHAnsi" w:cstheme="minorHAnsi"/>
        </w:rPr>
        <w:t xml:space="preserve"> grace period. Pensions awarded in respect of public servants retiring during this grace period are liable to PSPR if the pre-PSPR </w:t>
      </w:r>
      <w:r w:rsidR="005E79A9">
        <w:rPr>
          <w:rFonts w:asciiTheme="minorHAnsi" w:hAnsiTheme="minorHAnsi" w:cstheme="minorHAnsi"/>
        </w:rPr>
        <w:t xml:space="preserve">pension </w:t>
      </w:r>
      <w:r w:rsidR="0075227A" w:rsidRPr="005F4CC5">
        <w:rPr>
          <w:rFonts w:asciiTheme="minorHAnsi" w:hAnsiTheme="minorHAnsi" w:cstheme="minorHAnsi"/>
        </w:rPr>
        <w:t xml:space="preserve">value exceeds the applicable </w:t>
      </w:r>
      <w:r w:rsidR="00F720A4">
        <w:rPr>
          <w:rFonts w:asciiTheme="minorHAnsi" w:hAnsiTheme="minorHAnsi" w:cstheme="minorHAnsi"/>
        </w:rPr>
        <w:t xml:space="preserve">exemption </w:t>
      </w:r>
      <w:r w:rsidR="0075227A" w:rsidRPr="005F4CC5">
        <w:rPr>
          <w:rFonts w:asciiTheme="minorHAnsi" w:hAnsiTheme="minorHAnsi" w:cstheme="minorHAnsi"/>
        </w:rPr>
        <w:t>threshold</w:t>
      </w:r>
      <w:r w:rsidRPr="005F4CC5">
        <w:rPr>
          <w:rFonts w:asciiTheme="minorHAnsi" w:hAnsiTheme="minorHAnsi" w:cstheme="minorHAnsi"/>
        </w:rPr>
        <w:t xml:space="preserve">s, being </w:t>
      </w:r>
      <w:r>
        <w:rPr>
          <w:rFonts w:asciiTheme="minorHAnsi" w:hAnsiTheme="minorHAnsi" w:cstheme="minorHAnsi"/>
        </w:rPr>
        <w:t>€</w:t>
      </w:r>
      <w:r w:rsidRPr="005F4CC5">
        <w:rPr>
          <w:rFonts w:asciiTheme="minorHAnsi" w:hAnsiTheme="minorHAnsi" w:cstheme="minorHAnsi"/>
        </w:rPr>
        <w:t xml:space="preserve">32,500 until end-2016, €39,000 during 2017 </w:t>
      </w:r>
      <w:r w:rsidR="00F720A4">
        <w:rPr>
          <w:rFonts w:asciiTheme="minorHAnsi" w:hAnsiTheme="minorHAnsi" w:cstheme="minorHAnsi"/>
        </w:rPr>
        <w:t xml:space="preserve">and </w:t>
      </w:r>
      <w:r w:rsidRPr="005F4CC5">
        <w:rPr>
          <w:rFonts w:asciiTheme="minorHAnsi" w:hAnsiTheme="minorHAnsi" w:cstheme="minorHAnsi"/>
        </w:rPr>
        <w:t>€60,000 from 2018</w:t>
      </w:r>
      <w:r w:rsidR="00F720A4">
        <w:rPr>
          <w:rFonts w:asciiTheme="minorHAnsi" w:hAnsiTheme="minorHAnsi" w:cstheme="minorHAnsi"/>
        </w:rPr>
        <w:t xml:space="preserve"> – </w:t>
      </w:r>
      <w:r w:rsidR="0075227A" w:rsidRPr="005F4CC5">
        <w:rPr>
          <w:rFonts w:asciiTheme="minorHAnsi" w:hAnsiTheme="minorHAnsi" w:cstheme="minorHAnsi"/>
        </w:rPr>
        <w:t>see “Group 3” pensions at paragraph</w:t>
      </w:r>
      <w:r w:rsidR="00F720A4">
        <w:rPr>
          <w:rFonts w:asciiTheme="minorHAnsi" w:hAnsiTheme="minorHAnsi" w:cstheme="minorHAnsi"/>
        </w:rPr>
        <w:t xml:space="preserve">s 5 and </w:t>
      </w:r>
      <w:r w:rsidR="005A6983">
        <w:rPr>
          <w:rFonts w:asciiTheme="minorHAnsi" w:hAnsiTheme="minorHAnsi" w:cstheme="minorHAnsi"/>
        </w:rPr>
        <w:t>8</w:t>
      </w:r>
      <w:r w:rsidR="00130B20">
        <w:rPr>
          <w:rFonts w:asciiTheme="minorHAnsi" w:hAnsiTheme="minorHAnsi" w:cstheme="minorHAnsi"/>
        </w:rPr>
        <w:t>(iii)</w:t>
      </w:r>
      <w:r w:rsidR="00F720A4">
        <w:rPr>
          <w:rFonts w:asciiTheme="minorHAnsi" w:hAnsiTheme="minorHAnsi" w:cstheme="minorHAnsi"/>
        </w:rPr>
        <w:t xml:space="preserve"> above</w:t>
      </w:r>
      <w:r w:rsidR="0075227A" w:rsidRPr="005F4CC5">
        <w:rPr>
          <w:rFonts w:asciiTheme="minorHAnsi" w:hAnsiTheme="minorHAnsi" w:cstheme="minorHAnsi"/>
        </w:rPr>
        <w:t>.</w:t>
      </w:r>
    </w:p>
    <w:p w:rsidR="0075227A" w:rsidRDefault="0075227A" w:rsidP="0075227A">
      <w:pPr>
        <w:contextualSpacing/>
        <w:jc w:val="both"/>
        <w:rPr>
          <w:rFonts w:asciiTheme="minorHAnsi" w:hAnsiTheme="minorHAnsi" w:cstheme="minorHAnsi"/>
        </w:rPr>
      </w:pPr>
    </w:p>
    <w:p w:rsidR="00F438B7" w:rsidRDefault="00F438B7" w:rsidP="0075227A">
      <w:pPr>
        <w:contextualSpacing/>
        <w:jc w:val="both"/>
        <w:rPr>
          <w:rFonts w:asciiTheme="minorHAnsi" w:hAnsiTheme="minorHAnsi" w:cstheme="minorHAnsi"/>
        </w:rPr>
      </w:pPr>
      <w:r>
        <w:rPr>
          <w:rFonts w:asciiTheme="minorHAnsi" w:hAnsiTheme="minorHAnsi" w:cstheme="minorHAnsi"/>
        </w:rPr>
        <w:t>1</w:t>
      </w:r>
      <w:r w:rsidR="005A6983">
        <w:rPr>
          <w:rFonts w:asciiTheme="minorHAnsi" w:hAnsiTheme="minorHAnsi" w:cstheme="minorHAnsi"/>
        </w:rPr>
        <w:t>2</w:t>
      </w:r>
      <w:r>
        <w:rPr>
          <w:rFonts w:asciiTheme="minorHAnsi" w:hAnsiTheme="minorHAnsi" w:cstheme="minorHAnsi"/>
        </w:rPr>
        <w:t xml:space="preserve">. Under current law, pensions awarded in respect of retirements after the </w:t>
      </w:r>
      <w:r w:rsidR="00F85083">
        <w:rPr>
          <w:rFonts w:asciiTheme="minorHAnsi" w:hAnsiTheme="minorHAnsi" w:cstheme="minorHAnsi"/>
        </w:rPr>
        <w:t xml:space="preserve">FEMPI 2013 </w:t>
      </w:r>
      <w:r>
        <w:rPr>
          <w:rFonts w:asciiTheme="minorHAnsi" w:hAnsiTheme="minorHAnsi" w:cstheme="minorHAnsi"/>
        </w:rPr>
        <w:t xml:space="preserve">grace period, which is due to end on 1 April 2019, will not be subject to PSPR.                                                                        </w:t>
      </w:r>
    </w:p>
    <w:p w:rsidR="0045641E" w:rsidRDefault="0045641E" w:rsidP="00885071">
      <w:pPr>
        <w:contextualSpacing/>
        <w:jc w:val="both"/>
        <w:rPr>
          <w:rFonts w:asciiTheme="minorHAnsi" w:hAnsiTheme="minorHAnsi" w:cstheme="minorHAnsi"/>
        </w:rPr>
      </w:pPr>
    </w:p>
    <w:p w:rsidR="0083585B" w:rsidRDefault="0083585B" w:rsidP="00885071">
      <w:pPr>
        <w:contextualSpacing/>
        <w:jc w:val="both"/>
        <w:rPr>
          <w:rFonts w:asciiTheme="minorHAnsi" w:hAnsiTheme="minorHAnsi" w:cstheme="minorHAnsi"/>
          <w:b/>
        </w:rPr>
      </w:pPr>
    </w:p>
    <w:p w:rsidR="00B70910" w:rsidRPr="00A70A43" w:rsidRDefault="00853925" w:rsidP="00885071">
      <w:pPr>
        <w:contextualSpacing/>
        <w:jc w:val="both"/>
        <w:rPr>
          <w:rFonts w:asciiTheme="minorHAnsi" w:hAnsiTheme="minorHAnsi" w:cstheme="minorHAnsi"/>
          <w:b/>
        </w:rPr>
      </w:pPr>
      <w:r w:rsidRPr="00A70A43">
        <w:rPr>
          <w:rFonts w:asciiTheme="minorHAnsi" w:hAnsiTheme="minorHAnsi" w:cstheme="minorHAnsi"/>
          <w:b/>
        </w:rPr>
        <w:t xml:space="preserve">Dependant </w:t>
      </w:r>
      <w:r w:rsidR="00D700E8">
        <w:rPr>
          <w:rFonts w:asciiTheme="minorHAnsi" w:hAnsiTheme="minorHAnsi" w:cstheme="minorHAnsi"/>
          <w:b/>
        </w:rPr>
        <w:t>p</w:t>
      </w:r>
      <w:r w:rsidRPr="00A70A43">
        <w:rPr>
          <w:rFonts w:asciiTheme="minorHAnsi" w:hAnsiTheme="minorHAnsi" w:cstheme="minorHAnsi"/>
          <w:b/>
        </w:rPr>
        <w:t>ensions</w:t>
      </w:r>
      <w:r w:rsidR="00A70A43">
        <w:rPr>
          <w:rFonts w:asciiTheme="minorHAnsi" w:hAnsiTheme="minorHAnsi" w:cstheme="minorHAnsi"/>
          <w:b/>
        </w:rPr>
        <w:t xml:space="preserve"> and PSPR</w:t>
      </w:r>
    </w:p>
    <w:p w:rsidR="00B70910" w:rsidRDefault="00B70910" w:rsidP="00885071">
      <w:pPr>
        <w:contextualSpacing/>
        <w:jc w:val="both"/>
        <w:rPr>
          <w:rFonts w:asciiTheme="minorHAnsi" w:hAnsiTheme="minorHAnsi" w:cstheme="minorHAnsi"/>
        </w:rPr>
      </w:pPr>
    </w:p>
    <w:p w:rsidR="00F720A4" w:rsidRPr="00F720A4" w:rsidRDefault="00F720A4" w:rsidP="00F720A4">
      <w:pPr>
        <w:pStyle w:val="NormalWeb"/>
        <w:jc w:val="both"/>
        <w:rPr>
          <w:rFonts w:asciiTheme="minorHAnsi" w:hAnsiTheme="minorHAnsi" w:cstheme="minorHAnsi"/>
        </w:rPr>
      </w:pPr>
      <w:r w:rsidRPr="00F720A4">
        <w:rPr>
          <w:rFonts w:asciiTheme="minorHAnsi" w:hAnsiTheme="minorHAnsi" w:cstheme="minorHAnsi"/>
        </w:rPr>
        <w:t xml:space="preserve">13. Dependant pensions are payable, subject to eligibility, to surviving spouses, civil partners and qualifying children of deceased members of public service pension schemes. For PSPR purposes, dependant pensions are treated in largely the same way as member pensions. Note however </w:t>
      </w:r>
      <w:r w:rsidR="0083585B">
        <w:rPr>
          <w:rFonts w:asciiTheme="minorHAnsi" w:hAnsiTheme="minorHAnsi" w:cstheme="minorHAnsi"/>
        </w:rPr>
        <w:t xml:space="preserve">the following rules for </w:t>
      </w:r>
      <w:r w:rsidRPr="00F720A4">
        <w:rPr>
          <w:rFonts w:asciiTheme="minorHAnsi" w:hAnsiTheme="minorHAnsi" w:cstheme="minorHAnsi"/>
        </w:rPr>
        <w:t xml:space="preserve">establishing which PSPR rates </w:t>
      </w:r>
      <w:r w:rsidR="0083585B">
        <w:rPr>
          <w:rFonts w:asciiTheme="minorHAnsi" w:hAnsiTheme="minorHAnsi" w:cstheme="minorHAnsi"/>
        </w:rPr>
        <w:t>apply to a dependant pension</w:t>
      </w:r>
      <w:r w:rsidRPr="00F720A4">
        <w:rPr>
          <w:rFonts w:asciiTheme="minorHAnsi" w:hAnsiTheme="minorHAnsi" w:cstheme="minorHAnsi"/>
        </w:rPr>
        <w:t>:</w:t>
      </w:r>
    </w:p>
    <w:p w:rsidR="00F720A4" w:rsidRPr="00F720A4" w:rsidRDefault="00F720A4" w:rsidP="00F720A4">
      <w:pPr>
        <w:pStyle w:val="NormalWeb"/>
        <w:jc w:val="both"/>
        <w:rPr>
          <w:rFonts w:asciiTheme="minorHAnsi" w:hAnsiTheme="minorHAnsi" w:cstheme="minorHAnsi"/>
        </w:rPr>
      </w:pPr>
    </w:p>
    <w:p w:rsidR="00F720A4" w:rsidRPr="00F720A4" w:rsidRDefault="00F720A4" w:rsidP="00447D17">
      <w:pPr>
        <w:pStyle w:val="NormalWeb"/>
        <w:numPr>
          <w:ilvl w:val="0"/>
          <w:numId w:val="8"/>
        </w:numPr>
        <w:jc w:val="both"/>
        <w:rPr>
          <w:rFonts w:asciiTheme="minorHAnsi" w:hAnsiTheme="minorHAnsi" w:cstheme="minorHAnsi"/>
        </w:rPr>
      </w:pPr>
      <w:r w:rsidRPr="00F720A4">
        <w:rPr>
          <w:rFonts w:asciiTheme="minorHAnsi" w:hAnsiTheme="minorHAnsi" w:cstheme="minorHAnsi"/>
        </w:rPr>
        <w:t xml:space="preserve">If the deceased member </w:t>
      </w:r>
      <w:r w:rsidRPr="00F720A4">
        <w:rPr>
          <w:rFonts w:asciiTheme="minorHAnsi" w:hAnsiTheme="minorHAnsi" w:cstheme="minorHAnsi"/>
          <w:b/>
        </w:rPr>
        <w:t>had already retired at the commencement of the dependant pension</w:t>
      </w:r>
      <w:r w:rsidRPr="00F720A4">
        <w:rPr>
          <w:rFonts w:asciiTheme="minorHAnsi" w:hAnsiTheme="minorHAnsi" w:cstheme="minorHAnsi"/>
        </w:rPr>
        <w:t>, the PSPR regime—pre-March 2012 rates (Groups 1 and 2 in this circular) or post-February 2012 rates (Group 3 in this circular)—appli</w:t>
      </w:r>
      <w:r>
        <w:rPr>
          <w:rFonts w:asciiTheme="minorHAnsi" w:hAnsiTheme="minorHAnsi" w:cstheme="minorHAnsi"/>
        </w:rPr>
        <w:t>ed</w:t>
      </w:r>
      <w:r w:rsidRPr="00F720A4">
        <w:rPr>
          <w:rFonts w:asciiTheme="minorHAnsi" w:hAnsiTheme="minorHAnsi" w:cstheme="minorHAnsi"/>
        </w:rPr>
        <w:t xml:space="preserve"> to </w:t>
      </w:r>
      <w:r>
        <w:rPr>
          <w:rFonts w:asciiTheme="minorHAnsi" w:hAnsiTheme="minorHAnsi" w:cstheme="minorHAnsi"/>
        </w:rPr>
        <w:t xml:space="preserve">the </w:t>
      </w:r>
      <w:r w:rsidRPr="00F720A4">
        <w:rPr>
          <w:rFonts w:asciiTheme="minorHAnsi" w:hAnsiTheme="minorHAnsi" w:cstheme="minorHAnsi"/>
        </w:rPr>
        <w:t>member’s pension should be ap</w:t>
      </w:r>
      <w:r w:rsidR="0083585B">
        <w:rPr>
          <w:rFonts w:asciiTheme="minorHAnsi" w:hAnsiTheme="minorHAnsi" w:cstheme="minorHAnsi"/>
        </w:rPr>
        <w:t>plied to the dependant pension.</w:t>
      </w:r>
    </w:p>
    <w:p w:rsidR="00F720A4" w:rsidRPr="00F720A4" w:rsidRDefault="00F720A4" w:rsidP="00F720A4">
      <w:pPr>
        <w:pStyle w:val="NormalWeb"/>
        <w:ind w:firstLine="60"/>
        <w:jc w:val="both"/>
        <w:rPr>
          <w:rFonts w:asciiTheme="minorHAnsi" w:hAnsiTheme="minorHAnsi" w:cstheme="minorHAnsi"/>
        </w:rPr>
      </w:pPr>
    </w:p>
    <w:p w:rsidR="00F720A4" w:rsidRPr="00F720A4" w:rsidRDefault="00F720A4" w:rsidP="00447D17">
      <w:pPr>
        <w:pStyle w:val="NormalWeb"/>
        <w:numPr>
          <w:ilvl w:val="0"/>
          <w:numId w:val="8"/>
        </w:numPr>
        <w:jc w:val="both"/>
        <w:rPr>
          <w:rFonts w:asciiTheme="minorHAnsi" w:hAnsiTheme="minorHAnsi" w:cstheme="minorHAnsi"/>
        </w:rPr>
      </w:pPr>
      <w:r w:rsidRPr="00F720A4">
        <w:rPr>
          <w:rFonts w:asciiTheme="minorHAnsi" w:hAnsiTheme="minorHAnsi" w:cstheme="minorHAnsi"/>
        </w:rPr>
        <w:t xml:space="preserve">If the deceased </w:t>
      </w:r>
      <w:r w:rsidRPr="00F720A4">
        <w:rPr>
          <w:rFonts w:asciiTheme="minorHAnsi" w:hAnsiTheme="minorHAnsi" w:cstheme="minorHAnsi"/>
          <w:b/>
        </w:rPr>
        <w:t>member died in service (or having resigned</w:t>
      </w:r>
      <w:r w:rsidR="006F32D3">
        <w:rPr>
          <w:rFonts w:asciiTheme="minorHAnsi" w:hAnsiTheme="minorHAnsi" w:cstheme="minorHAnsi"/>
          <w:b/>
        </w:rPr>
        <w:t>, die</w:t>
      </w:r>
      <w:r w:rsidR="00D54E67">
        <w:rPr>
          <w:rFonts w:asciiTheme="minorHAnsi" w:hAnsiTheme="minorHAnsi" w:cstheme="minorHAnsi"/>
          <w:b/>
        </w:rPr>
        <w:t>d</w:t>
      </w:r>
      <w:r w:rsidRPr="00F720A4">
        <w:rPr>
          <w:rFonts w:asciiTheme="minorHAnsi" w:hAnsiTheme="minorHAnsi" w:cstheme="minorHAnsi"/>
          <w:b/>
        </w:rPr>
        <w:t xml:space="preserve"> before preserved pension age)</w:t>
      </w:r>
      <w:r w:rsidR="006F32D3">
        <w:rPr>
          <w:rFonts w:asciiTheme="minorHAnsi" w:hAnsiTheme="minorHAnsi" w:cstheme="minorHAnsi"/>
        </w:rPr>
        <w:t>, the PSPR regime—</w:t>
      </w:r>
      <w:r w:rsidRPr="00F720A4">
        <w:rPr>
          <w:rFonts w:asciiTheme="minorHAnsi" w:hAnsiTheme="minorHAnsi" w:cstheme="minorHAnsi"/>
        </w:rPr>
        <w:t xml:space="preserve">pre-March 2012 rates (Group 1 and 2 in this circular) or post-February 2012 rates (Group 3 in this circular)—that would have </w:t>
      </w:r>
      <w:r w:rsidRPr="00F720A4">
        <w:rPr>
          <w:rFonts w:asciiTheme="minorHAnsi" w:hAnsiTheme="minorHAnsi" w:cstheme="minorHAnsi"/>
        </w:rPr>
        <w:lastRenderedPageBreak/>
        <w:t>applied to th</w:t>
      </w:r>
      <w:r>
        <w:rPr>
          <w:rFonts w:asciiTheme="minorHAnsi" w:hAnsiTheme="minorHAnsi" w:cstheme="minorHAnsi"/>
        </w:rPr>
        <w:t>e</w:t>
      </w:r>
      <w:r w:rsidRPr="00F720A4">
        <w:rPr>
          <w:rFonts w:asciiTheme="minorHAnsi" w:hAnsiTheme="minorHAnsi" w:cstheme="minorHAnsi"/>
        </w:rPr>
        <w:t xml:space="preserve"> member if going on pension at the time of death should be applied to the dependant pension.</w:t>
      </w:r>
    </w:p>
    <w:p w:rsidR="00F720A4" w:rsidRPr="00F720A4" w:rsidRDefault="00F720A4" w:rsidP="00F720A4">
      <w:pPr>
        <w:pStyle w:val="NormalWeb"/>
        <w:jc w:val="both"/>
        <w:rPr>
          <w:rFonts w:asciiTheme="minorHAnsi" w:hAnsiTheme="minorHAnsi" w:cstheme="minorHAnsi"/>
        </w:rPr>
      </w:pPr>
    </w:p>
    <w:p w:rsidR="00F720A4" w:rsidRDefault="00F720A4" w:rsidP="00885071">
      <w:pPr>
        <w:contextualSpacing/>
        <w:jc w:val="both"/>
        <w:rPr>
          <w:rFonts w:asciiTheme="minorHAnsi" w:hAnsiTheme="minorHAnsi" w:cstheme="minorHAnsi"/>
          <w:b/>
        </w:rPr>
      </w:pPr>
    </w:p>
    <w:p w:rsidR="00745F8A" w:rsidRDefault="00745F8A" w:rsidP="00885071">
      <w:pPr>
        <w:contextualSpacing/>
        <w:jc w:val="both"/>
        <w:rPr>
          <w:rFonts w:asciiTheme="minorHAnsi" w:hAnsiTheme="minorHAnsi" w:cstheme="minorHAnsi"/>
          <w:b/>
        </w:rPr>
      </w:pPr>
    </w:p>
    <w:p w:rsidR="0045641E" w:rsidRDefault="00EF3DD4" w:rsidP="00885071">
      <w:pPr>
        <w:contextualSpacing/>
        <w:jc w:val="both"/>
        <w:rPr>
          <w:rFonts w:asciiTheme="minorHAnsi" w:hAnsiTheme="minorHAnsi" w:cstheme="minorHAnsi"/>
          <w:b/>
        </w:rPr>
      </w:pPr>
      <w:r>
        <w:rPr>
          <w:rFonts w:asciiTheme="minorHAnsi" w:hAnsiTheme="minorHAnsi" w:cstheme="minorHAnsi"/>
          <w:b/>
        </w:rPr>
        <w:t>A</w:t>
      </w:r>
      <w:r w:rsidR="006426FF">
        <w:rPr>
          <w:rFonts w:asciiTheme="minorHAnsi" w:hAnsiTheme="minorHAnsi" w:cstheme="minorHAnsi"/>
          <w:b/>
        </w:rPr>
        <w:t>gg</w:t>
      </w:r>
      <w:r w:rsidR="0045641E" w:rsidRPr="0045641E">
        <w:rPr>
          <w:rFonts w:asciiTheme="minorHAnsi" w:hAnsiTheme="minorHAnsi" w:cstheme="minorHAnsi"/>
          <w:b/>
        </w:rPr>
        <w:t>regation</w:t>
      </w:r>
      <w:r w:rsidR="006426FF">
        <w:rPr>
          <w:rFonts w:asciiTheme="minorHAnsi" w:hAnsiTheme="minorHAnsi" w:cstheme="minorHAnsi"/>
          <w:b/>
        </w:rPr>
        <w:t xml:space="preserve"> </w:t>
      </w:r>
      <w:r>
        <w:rPr>
          <w:rFonts w:asciiTheme="minorHAnsi" w:hAnsiTheme="minorHAnsi" w:cstheme="minorHAnsi"/>
          <w:b/>
        </w:rPr>
        <w:t xml:space="preserve">for PSPR purposes </w:t>
      </w:r>
      <w:r w:rsidR="006426FF">
        <w:rPr>
          <w:rFonts w:asciiTheme="minorHAnsi" w:hAnsiTheme="minorHAnsi" w:cstheme="minorHAnsi"/>
          <w:b/>
        </w:rPr>
        <w:t>of multiple pensions held by a pensioner</w:t>
      </w:r>
    </w:p>
    <w:p w:rsidR="0045641E" w:rsidRDefault="0045641E" w:rsidP="00885071">
      <w:pPr>
        <w:contextualSpacing/>
        <w:jc w:val="both"/>
        <w:rPr>
          <w:rFonts w:asciiTheme="minorHAnsi" w:hAnsiTheme="minorHAnsi" w:cstheme="minorHAnsi"/>
          <w:b/>
        </w:rPr>
      </w:pPr>
    </w:p>
    <w:p w:rsidR="001849C1" w:rsidRDefault="0045641E" w:rsidP="00885071">
      <w:pPr>
        <w:contextualSpacing/>
        <w:jc w:val="both"/>
        <w:rPr>
          <w:rFonts w:asciiTheme="minorHAnsi" w:hAnsiTheme="minorHAnsi" w:cstheme="minorHAnsi"/>
        </w:rPr>
      </w:pPr>
      <w:r w:rsidRPr="0045641E">
        <w:rPr>
          <w:rFonts w:asciiTheme="minorHAnsi" w:hAnsiTheme="minorHAnsi" w:cstheme="minorHAnsi"/>
        </w:rPr>
        <w:t>1</w:t>
      </w:r>
      <w:r w:rsidR="00745F8A">
        <w:rPr>
          <w:rFonts w:asciiTheme="minorHAnsi" w:hAnsiTheme="minorHAnsi" w:cstheme="minorHAnsi"/>
        </w:rPr>
        <w:t>4</w:t>
      </w:r>
      <w:r w:rsidRPr="0045641E">
        <w:rPr>
          <w:rFonts w:asciiTheme="minorHAnsi" w:hAnsiTheme="minorHAnsi" w:cstheme="minorHAnsi"/>
        </w:rPr>
        <w:t xml:space="preserve">. PSPR was originally legislated (in FEMPI 2010) as an imposition on individual public service pensions. Subsequent </w:t>
      </w:r>
      <w:r w:rsidR="00D700E8">
        <w:rPr>
          <w:rFonts w:asciiTheme="minorHAnsi" w:hAnsiTheme="minorHAnsi" w:cstheme="minorHAnsi"/>
        </w:rPr>
        <w:t xml:space="preserve">legislative </w:t>
      </w:r>
      <w:r w:rsidRPr="0045641E">
        <w:rPr>
          <w:rFonts w:asciiTheme="minorHAnsi" w:hAnsiTheme="minorHAnsi" w:cstheme="minorHAnsi"/>
        </w:rPr>
        <w:t xml:space="preserve">amendments however </w:t>
      </w:r>
      <w:r w:rsidR="001256DB">
        <w:rPr>
          <w:rFonts w:asciiTheme="minorHAnsi" w:hAnsiTheme="minorHAnsi" w:cstheme="minorHAnsi"/>
        </w:rPr>
        <w:t xml:space="preserve">have enabled the </w:t>
      </w:r>
      <w:r w:rsidRPr="0045641E">
        <w:rPr>
          <w:rFonts w:asciiTheme="minorHAnsi" w:hAnsiTheme="minorHAnsi" w:cstheme="minorHAnsi"/>
        </w:rPr>
        <w:t>appl</w:t>
      </w:r>
      <w:r w:rsidR="001256DB">
        <w:rPr>
          <w:rFonts w:asciiTheme="minorHAnsi" w:hAnsiTheme="minorHAnsi" w:cstheme="minorHAnsi"/>
        </w:rPr>
        <w:t xml:space="preserve">ication of </w:t>
      </w:r>
      <w:r w:rsidRPr="0045641E">
        <w:rPr>
          <w:rFonts w:asciiTheme="minorHAnsi" w:hAnsiTheme="minorHAnsi" w:cstheme="minorHAnsi"/>
        </w:rPr>
        <w:t xml:space="preserve">PSPR to </w:t>
      </w:r>
      <w:r w:rsidRPr="0014510D">
        <w:rPr>
          <w:rFonts w:asciiTheme="minorHAnsi" w:hAnsiTheme="minorHAnsi" w:cstheme="minorHAnsi"/>
          <w:b/>
        </w:rPr>
        <w:t>the combined or aggregate value of all such pensions held by a pensioner</w:t>
      </w:r>
      <w:r w:rsidRPr="0045641E">
        <w:rPr>
          <w:rFonts w:asciiTheme="minorHAnsi" w:hAnsiTheme="minorHAnsi" w:cstheme="minorHAnsi"/>
        </w:rPr>
        <w:t>,</w:t>
      </w:r>
      <w:r w:rsidR="001849C1">
        <w:rPr>
          <w:rFonts w:asciiTheme="minorHAnsi" w:hAnsiTheme="minorHAnsi" w:cstheme="minorHAnsi"/>
        </w:rPr>
        <w:t xml:space="preserve"> provided that,  </w:t>
      </w:r>
      <w:r w:rsidRPr="0045641E">
        <w:rPr>
          <w:rFonts w:asciiTheme="minorHAnsi" w:hAnsiTheme="minorHAnsi" w:cstheme="minorHAnsi"/>
        </w:rPr>
        <w:t xml:space="preserve"> </w:t>
      </w:r>
      <w:r w:rsidR="001849C1" w:rsidRPr="001849C1">
        <w:rPr>
          <w:rFonts w:asciiTheme="minorHAnsi" w:hAnsiTheme="minorHAnsi" w:cstheme="minorHAnsi"/>
          <w:i/>
        </w:rPr>
        <w:t>inter alia</w:t>
      </w:r>
      <w:r w:rsidR="001849C1">
        <w:rPr>
          <w:rFonts w:asciiTheme="minorHAnsi" w:hAnsiTheme="minorHAnsi" w:cstheme="minorHAnsi"/>
        </w:rPr>
        <w:t xml:space="preserve">, </w:t>
      </w:r>
      <w:r w:rsidR="001849C1" w:rsidRPr="0045641E">
        <w:rPr>
          <w:rFonts w:asciiTheme="minorHAnsi" w:hAnsiTheme="minorHAnsi" w:cstheme="minorHAnsi"/>
        </w:rPr>
        <w:t xml:space="preserve">the combined value of such multiple pensions held by </w:t>
      </w:r>
      <w:r w:rsidR="0014510D">
        <w:rPr>
          <w:rFonts w:asciiTheme="minorHAnsi" w:hAnsiTheme="minorHAnsi" w:cstheme="minorHAnsi"/>
        </w:rPr>
        <w:t xml:space="preserve">the pensioner </w:t>
      </w:r>
      <w:r w:rsidR="001849C1">
        <w:rPr>
          <w:rFonts w:asciiTheme="minorHAnsi" w:hAnsiTheme="minorHAnsi" w:cstheme="minorHAnsi"/>
        </w:rPr>
        <w:t>e</w:t>
      </w:r>
      <w:r w:rsidR="001849C1" w:rsidRPr="0045641E">
        <w:rPr>
          <w:rFonts w:asciiTheme="minorHAnsi" w:hAnsiTheme="minorHAnsi" w:cstheme="minorHAnsi"/>
        </w:rPr>
        <w:t>xceed</w:t>
      </w:r>
      <w:r w:rsidR="001849C1">
        <w:rPr>
          <w:rFonts w:asciiTheme="minorHAnsi" w:hAnsiTheme="minorHAnsi" w:cstheme="minorHAnsi"/>
        </w:rPr>
        <w:t>s</w:t>
      </w:r>
      <w:r w:rsidR="001849C1" w:rsidRPr="0045641E">
        <w:rPr>
          <w:rFonts w:asciiTheme="minorHAnsi" w:hAnsiTheme="minorHAnsi" w:cstheme="minorHAnsi"/>
        </w:rPr>
        <w:t xml:space="preserve"> €32,500 (before PSPR).</w:t>
      </w:r>
      <w:r w:rsidRPr="0045641E">
        <w:rPr>
          <w:rFonts w:asciiTheme="minorHAnsi" w:hAnsiTheme="minorHAnsi" w:cstheme="minorHAnsi"/>
        </w:rPr>
        <w:t xml:space="preserve"> </w:t>
      </w:r>
      <w:r w:rsidR="001849C1">
        <w:rPr>
          <w:rFonts w:asciiTheme="minorHAnsi" w:hAnsiTheme="minorHAnsi" w:cstheme="minorHAnsi"/>
        </w:rPr>
        <w:t xml:space="preserve">This “pension aggregation for PSPR purposes”, where arising, continues to apply following the </w:t>
      </w:r>
      <w:r w:rsidR="0083585B">
        <w:rPr>
          <w:rFonts w:asciiTheme="minorHAnsi" w:hAnsiTheme="minorHAnsi" w:cstheme="minorHAnsi"/>
        </w:rPr>
        <w:t xml:space="preserve">enactment of </w:t>
      </w:r>
      <w:r w:rsidR="001849C1">
        <w:rPr>
          <w:rFonts w:asciiTheme="minorHAnsi" w:hAnsiTheme="minorHAnsi" w:cstheme="minorHAnsi"/>
        </w:rPr>
        <w:t>FEMPI 2015.</w:t>
      </w:r>
    </w:p>
    <w:p w:rsidR="001849C1" w:rsidRDefault="001849C1" w:rsidP="00885071">
      <w:pPr>
        <w:contextualSpacing/>
        <w:jc w:val="both"/>
        <w:rPr>
          <w:rFonts w:asciiTheme="minorHAnsi" w:hAnsiTheme="minorHAnsi" w:cstheme="minorHAnsi"/>
        </w:rPr>
      </w:pPr>
    </w:p>
    <w:p w:rsidR="00B70910" w:rsidRDefault="001849C1" w:rsidP="00885071">
      <w:pPr>
        <w:contextualSpacing/>
        <w:jc w:val="both"/>
        <w:rPr>
          <w:rFonts w:asciiTheme="minorHAnsi" w:hAnsiTheme="minorHAnsi" w:cstheme="minorHAnsi"/>
        </w:rPr>
      </w:pPr>
      <w:r>
        <w:rPr>
          <w:rFonts w:asciiTheme="minorHAnsi" w:hAnsiTheme="minorHAnsi" w:cstheme="minorHAnsi"/>
        </w:rPr>
        <w:t>1</w:t>
      </w:r>
      <w:r w:rsidR="00745F8A">
        <w:rPr>
          <w:rFonts w:asciiTheme="minorHAnsi" w:hAnsiTheme="minorHAnsi" w:cstheme="minorHAnsi"/>
        </w:rPr>
        <w:t>5</w:t>
      </w:r>
      <w:r>
        <w:rPr>
          <w:rFonts w:asciiTheme="minorHAnsi" w:hAnsiTheme="minorHAnsi" w:cstheme="minorHAnsi"/>
        </w:rPr>
        <w:t xml:space="preserve">. </w:t>
      </w:r>
      <w:r w:rsidR="0045641E" w:rsidRPr="0045641E">
        <w:rPr>
          <w:rFonts w:asciiTheme="minorHAnsi" w:hAnsiTheme="minorHAnsi" w:cstheme="minorHAnsi"/>
        </w:rPr>
        <w:t>The vast majority of public service pensioners h</w:t>
      </w:r>
      <w:r>
        <w:rPr>
          <w:rFonts w:asciiTheme="minorHAnsi" w:hAnsiTheme="minorHAnsi" w:cstheme="minorHAnsi"/>
        </w:rPr>
        <w:t>ave</w:t>
      </w:r>
      <w:r w:rsidR="0045641E" w:rsidRPr="0045641E">
        <w:rPr>
          <w:rFonts w:asciiTheme="minorHAnsi" w:hAnsiTheme="minorHAnsi" w:cstheme="minorHAnsi"/>
        </w:rPr>
        <w:t xml:space="preserve"> only one public service pension, so "pension aggregation" for purposes of PSPR application, which i</w:t>
      </w:r>
      <w:r w:rsidR="00D700E8">
        <w:rPr>
          <w:rFonts w:asciiTheme="minorHAnsi" w:hAnsiTheme="minorHAnsi" w:cstheme="minorHAnsi"/>
        </w:rPr>
        <w:t>s</w:t>
      </w:r>
      <w:r w:rsidR="0045641E" w:rsidRPr="0045641E">
        <w:rPr>
          <w:rFonts w:asciiTheme="minorHAnsi" w:hAnsiTheme="minorHAnsi" w:cstheme="minorHAnsi"/>
        </w:rPr>
        <w:t xml:space="preserve"> </w:t>
      </w:r>
      <w:r w:rsidR="001C5DE0" w:rsidRPr="0045641E">
        <w:rPr>
          <w:rFonts w:asciiTheme="minorHAnsi" w:hAnsiTheme="minorHAnsi" w:cstheme="minorHAnsi"/>
        </w:rPr>
        <w:t>dealt</w:t>
      </w:r>
      <w:r w:rsidR="0045641E" w:rsidRPr="0045641E">
        <w:rPr>
          <w:rFonts w:asciiTheme="minorHAnsi" w:hAnsiTheme="minorHAnsi" w:cstheme="minorHAnsi"/>
        </w:rPr>
        <w:t xml:space="preserve"> with in more detail at Appendix A, does not arise in most cases.</w:t>
      </w:r>
    </w:p>
    <w:p w:rsidR="006C4767" w:rsidRDefault="006C4767" w:rsidP="00885071">
      <w:pPr>
        <w:contextualSpacing/>
        <w:jc w:val="both"/>
        <w:rPr>
          <w:rFonts w:asciiTheme="minorHAnsi" w:hAnsiTheme="minorHAnsi" w:cstheme="minorHAnsi"/>
        </w:rPr>
      </w:pPr>
    </w:p>
    <w:p w:rsidR="00FF04A0" w:rsidRDefault="00FF04A0" w:rsidP="00885071">
      <w:pPr>
        <w:contextualSpacing/>
        <w:jc w:val="both"/>
        <w:rPr>
          <w:rFonts w:asciiTheme="minorHAnsi" w:hAnsiTheme="minorHAnsi" w:cstheme="minorHAnsi"/>
        </w:rPr>
      </w:pPr>
    </w:p>
    <w:p w:rsidR="00FF04A0" w:rsidRPr="00A70A43" w:rsidRDefault="001B7CFE" w:rsidP="00FF04A0">
      <w:pPr>
        <w:contextualSpacing/>
        <w:jc w:val="both"/>
        <w:rPr>
          <w:rFonts w:asciiTheme="minorHAnsi" w:hAnsiTheme="minorHAnsi" w:cstheme="minorHAnsi"/>
          <w:b/>
        </w:rPr>
      </w:pPr>
      <w:r>
        <w:rPr>
          <w:rFonts w:asciiTheme="minorHAnsi" w:hAnsiTheme="minorHAnsi" w:cstheme="minorHAnsi"/>
          <w:b/>
        </w:rPr>
        <w:t>Pension Adjustment Orders</w:t>
      </w:r>
      <w:r w:rsidR="00FF04A0">
        <w:rPr>
          <w:rFonts w:asciiTheme="minorHAnsi" w:hAnsiTheme="minorHAnsi" w:cstheme="minorHAnsi"/>
          <w:b/>
        </w:rPr>
        <w:t xml:space="preserve"> and PSPR</w:t>
      </w:r>
    </w:p>
    <w:p w:rsidR="00FF04A0" w:rsidRDefault="00FF04A0" w:rsidP="00FF04A0">
      <w:pPr>
        <w:contextualSpacing/>
        <w:jc w:val="both"/>
        <w:rPr>
          <w:rFonts w:asciiTheme="minorHAnsi" w:hAnsiTheme="minorHAnsi" w:cstheme="minorHAnsi"/>
        </w:rPr>
      </w:pPr>
    </w:p>
    <w:p w:rsidR="00814681" w:rsidRDefault="00FF04A0" w:rsidP="009F7126">
      <w:pPr>
        <w:pStyle w:val="NormalWeb"/>
        <w:jc w:val="both"/>
        <w:rPr>
          <w:rFonts w:asciiTheme="minorHAnsi" w:hAnsiTheme="minorHAnsi" w:cstheme="minorHAnsi"/>
        </w:rPr>
      </w:pPr>
      <w:r>
        <w:rPr>
          <w:rFonts w:asciiTheme="minorHAnsi" w:hAnsiTheme="minorHAnsi" w:cstheme="minorHAnsi"/>
        </w:rPr>
        <w:t>1</w:t>
      </w:r>
      <w:r w:rsidR="00745F8A">
        <w:rPr>
          <w:rFonts w:asciiTheme="minorHAnsi" w:hAnsiTheme="minorHAnsi" w:cstheme="minorHAnsi"/>
        </w:rPr>
        <w:t>6</w:t>
      </w:r>
      <w:r>
        <w:rPr>
          <w:rFonts w:asciiTheme="minorHAnsi" w:hAnsiTheme="minorHAnsi" w:cstheme="minorHAnsi"/>
        </w:rPr>
        <w:t xml:space="preserve">. </w:t>
      </w:r>
      <w:r w:rsidR="00814681">
        <w:rPr>
          <w:rFonts w:asciiTheme="minorHAnsi" w:hAnsiTheme="minorHAnsi" w:cstheme="minorHAnsi"/>
        </w:rPr>
        <w:t xml:space="preserve">The application of PSPR in the case of a pension which is the subject of </w:t>
      </w:r>
      <w:r w:rsidR="00814681" w:rsidRPr="00814681">
        <w:rPr>
          <w:rFonts w:asciiTheme="minorHAnsi" w:hAnsiTheme="minorHAnsi" w:cstheme="minorHAnsi"/>
        </w:rPr>
        <w:t>Pension Adjustment Order</w:t>
      </w:r>
      <w:r w:rsidR="00814681">
        <w:rPr>
          <w:rFonts w:asciiTheme="minorHAnsi" w:hAnsiTheme="minorHAnsi" w:cstheme="minorHAnsi"/>
        </w:rPr>
        <w:t xml:space="preserve"> (PAO) is </w:t>
      </w:r>
      <w:r w:rsidR="00192D5B">
        <w:rPr>
          <w:rFonts w:asciiTheme="minorHAnsi" w:hAnsiTheme="minorHAnsi" w:cstheme="minorHAnsi"/>
        </w:rPr>
        <w:t xml:space="preserve">dealt with </w:t>
      </w:r>
      <w:r w:rsidR="00814681">
        <w:rPr>
          <w:rFonts w:asciiTheme="minorHAnsi" w:hAnsiTheme="minorHAnsi" w:cstheme="minorHAnsi"/>
        </w:rPr>
        <w:t xml:space="preserve">in FEMPI 2010 </w:t>
      </w:r>
      <w:r w:rsidR="009F7126">
        <w:rPr>
          <w:rFonts w:asciiTheme="minorHAnsi" w:hAnsiTheme="minorHAnsi" w:cstheme="minorHAnsi"/>
        </w:rPr>
        <w:t xml:space="preserve">in </w:t>
      </w:r>
      <w:r w:rsidR="00814681" w:rsidRPr="00814681">
        <w:rPr>
          <w:rFonts w:asciiTheme="minorHAnsi" w:hAnsiTheme="minorHAnsi" w:cstheme="minorHAnsi"/>
        </w:rPr>
        <w:t xml:space="preserve">section 2(5) </w:t>
      </w:r>
      <w:r w:rsidR="009F7126">
        <w:rPr>
          <w:rFonts w:asciiTheme="minorHAnsi" w:hAnsiTheme="minorHAnsi" w:cstheme="minorHAnsi"/>
        </w:rPr>
        <w:t>(</w:t>
      </w:r>
      <w:r w:rsidR="00814681" w:rsidRPr="00814681">
        <w:rPr>
          <w:rFonts w:asciiTheme="minorHAnsi" w:hAnsiTheme="minorHAnsi" w:cstheme="minorHAnsi"/>
        </w:rPr>
        <w:t>as inserted</w:t>
      </w:r>
      <w:r w:rsidR="009F7126">
        <w:rPr>
          <w:rFonts w:asciiTheme="minorHAnsi" w:hAnsiTheme="minorHAnsi" w:cstheme="minorHAnsi"/>
        </w:rPr>
        <w:t xml:space="preserve"> </w:t>
      </w:r>
      <w:r w:rsidR="00814681" w:rsidRPr="00814681">
        <w:rPr>
          <w:rFonts w:asciiTheme="minorHAnsi" w:hAnsiTheme="minorHAnsi" w:cstheme="minorHAnsi"/>
        </w:rPr>
        <w:t xml:space="preserve">by section 6(1)(b) of </w:t>
      </w:r>
      <w:r w:rsidR="00814681">
        <w:rPr>
          <w:rFonts w:asciiTheme="minorHAnsi" w:hAnsiTheme="minorHAnsi" w:cstheme="minorHAnsi"/>
        </w:rPr>
        <w:t>FEMPI 201</w:t>
      </w:r>
      <w:r w:rsidR="009F7126">
        <w:rPr>
          <w:rFonts w:asciiTheme="minorHAnsi" w:hAnsiTheme="minorHAnsi" w:cstheme="minorHAnsi"/>
        </w:rPr>
        <w:t>5)</w:t>
      </w:r>
      <w:r w:rsidR="00814681">
        <w:rPr>
          <w:rFonts w:asciiTheme="minorHAnsi" w:hAnsiTheme="minorHAnsi" w:cstheme="minorHAnsi"/>
        </w:rPr>
        <w:t>,</w:t>
      </w:r>
      <w:r w:rsidR="00814681" w:rsidRPr="00814681">
        <w:rPr>
          <w:rFonts w:asciiTheme="minorHAnsi" w:hAnsiTheme="minorHAnsi" w:cstheme="minorHAnsi"/>
        </w:rPr>
        <w:t xml:space="preserve"> and</w:t>
      </w:r>
      <w:r w:rsidR="009F7126">
        <w:rPr>
          <w:rFonts w:asciiTheme="minorHAnsi" w:hAnsiTheme="minorHAnsi" w:cstheme="minorHAnsi"/>
        </w:rPr>
        <w:t xml:space="preserve"> </w:t>
      </w:r>
      <w:r w:rsidR="00814681" w:rsidRPr="00814681">
        <w:rPr>
          <w:rFonts w:asciiTheme="minorHAnsi" w:hAnsiTheme="minorHAnsi" w:cstheme="minorHAnsi"/>
        </w:rPr>
        <w:t xml:space="preserve">section 2A(6) </w:t>
      </w:r>
      <w:r w:rsidR="00D87C8F">
        <w:rPr>
          <w:rFonts w:asciiTheme="minorHAnsi" w:hAnsiTheme="minorHAnsi" w:cstheme="minorHAnsi"/>
        </w:rPr>
        <w:t>(</w:t>
      </w:r>
      <w:r w:rsidR="00814681" w:rsidRPr="00814681">
        <w:rPr>
          <w:rFonts w:asciiTheme="minorHAnsi" w:hAnsiTheme="minorHAnsi" w:cstheme="minorHAnsi"/>
        </w:rPr>
        <w:t xml:space="preserve">as inserted by section 5(5) of the </w:t>
      </w:r>
      <w:r w:rsidR="00814681">
        <w:rPr>
          <w:rFonts w:asciiTheme="minorHAnsi" w:hAnsiTheme="minorHAnsi" w:cstheme="minorHAnsi"/>
        </w:rPr>
        <w:t>FEMPI</w:t>
      </w:r>
      <w:r w:rsidR="00814681" w:rsidRPr="00814681">
        <w:rPr>
          <w:rFonts w:asciiTheme="minorHAnsi" w:hAnsiTheme="minorHAnsi" w:cstheme="minorHAnsi"/>
        </w:rPr>
        <w:t xml:space="preserve"> 2013</w:t>
      </w:r>
      <w:r w:rsidR="00D87C8F">
        <w:rPr>
          <w:rFonts w:asciiTheme="minorHAnsi" w:hAnsiTheme="minorHAnsi" w:cstheme="minorHAnsi"/>
        </w:rPr>
        <w:t>)</w:t>
      </w:r>
      <w:r w:rsidR="00814681" w:rsidRPr="00814681">
        <w:rPr>
          <w:rFonts w:asciiTheme="minorHAnsi" w:hAnsiTheme="minorHAnsi" w:cstheme="minorHAnsi"/>
        </w:rPr>
        <w:t>.</w:t>
      </w:r>
    </w:p>
    <w:p w:rsidR="009F7126" w:rsidRDefault="009F7126" w:rsidP="009F7126">
      <w:pPr>
        <w:pStyle w:val="NormalWeb"/>
        <w:jc w:val="both"/>
        <w:rPr>
          <w:rFonts w:asciiTheme="minorHAnsi" w:hAnsiTheme="minorHAnsi" w:cstheme="minorHAnsi"/>
        </w:rPr>
      </w:pPr>
    </w:p>
    <w:p w:rsidR="00814681" w:rsidRDefault="009F7126" w:rsidP="00FF04A0">
      <w:pPr>
        <w:pStyle w:val="NormalWeb"/>
        <w:jc w:val="both"/>
        <w:rPr>
          <w:rFonts w:asciiTheme="minorHAnsi" w:hAnsiTheme="minorHAnsi" w:cstheme="minorHAnsi"/>
        </w:rPr>
      </w:pPr>
      <w:r>
        <w:rPr>
          <w:rFonts w:asciiTheme="minorHAnsi" w:hAnsiTheme="minorHAnsi" w:cstheme="minorHAnsi"/>
        </w:rPr>
        <w:t>1</w:t>
      </w:r>
      <w:r w:rsidR="00745F8A">
        <w:rPr>
          <w:rFonts w:asciiTheme="minorHAnsi" w:hAnsiTheme="minorHAnsi" w:cstheme="minorHAnsi"/>
        </w:rPr>
        <w:t>7</w:t>
      </w:r>
      <w:r>
        <w:rPr>
          <w:rFonts w:asciiTheme="minorHAnsi" w:hAnsiTheme="minorHAnsi" w:cstheme="minorHAnsi"/>
        </w:rPr>
        <w:t xml:space="preserve">. </w:t>
      </w:r>
      <w:r w:rsidR="00EB3EBB">
        <w:rPr>
          <w:rFonts w:asciiTheme="minorHAnsi" w:hAnsiTheme="minorHAnsi" w:cstheme="minorHAnsi"/>
        </w:rPr>
        <w:t xml:space="preserve">These </w:t>
      </w:r>
      <w:r w:rsidR="00192D5B">
        <w:rPr>
          <w:rFonts w:asciiTheme="minorHAnsi" w:hAnsiTheme="minorHAnsi" w:cstheme="minorHAnsi"/>
        </w:rPr>
        <w:t xml:space="preserve">sections of the legislation </w:t>
      </w:r>
      <w:r w:rsidR="00EB3EBB">
        <w:rPr>
          <w:rFonts w:asciiTheme="minorHAnsi" w:hAnsiTheme="minorHAnsi" w:cstheme="minorHAnsi"/>
        </w:rPr>
        <w:t xml:space="preserve">require that </w:t>
      </w:r>
      <w:r>
        <w:rPr>
          <w:rFonts w:asciiTheme="minorHAnsi" w:hAnsiTheme="minorHAnsi" w:cstheme="minorHAnsi"/>
        </w:rPr>
        <w:t xml:space="preserve">for any PAO-affected pension, </w:t>
      </w:r>
      <w:r w:rsidRPr="009F7126">
        <w:rPr>
          <w:rFonts w:asciiTheme="minorHAnsi" w:hAnsiTheme="minorHAnsi" w:cstheme="minorHAnsi"/>
        </w:rPr>
        <w:t xml:space="preserve">the </w:t>
      </w:r>
      <w:r w:rsidR="00447D17">
        <w:rPr>
          <w:rFonts w:asciiTheme="minorHAnsi" w:hAnsiTheme="minorHAnsi" w:cstheme="minorHAnsi"/>
        </w:rPr>
        <w:t xml:space="preserve">original gross </w:t>
      </w:r>
      <w:r>
        <w:rPr>
          <w:rFonts w:asciiTheme="minorHAnsi" w:hAnsiTheme="minorHAnsi" w:cstheme="minorHAnsi"/>
        </w:rPr>
        <w:t xml:space="preserve">undivided pre-PSPR pension </w:t>
      </w:r>
      <w:r w:rsidR="00D87C8F">
        <w:rPr>
          <w:rFonts w:asciiTheme="minorHAnsi" w:hAnsiTheme="minorHAnsi" w:cstheme="minorHAnsi"/>
        </w:rPr>
        <w:t xml:space="preserve">amount </w:t>
      </w:r>
      <w:r>
        <w:rPr>
          <w:rFonts w:asciiTheme="minorHAnsi" w:hAnsiTheme="minorHAnsi" w:cstheme="minorHAnsi"/>
        </w:rPr>
        <w:t xml:space="preserve">is first to be subjected to PSPR, with the resultant net amount then being </w:t>
      </w:r>
      <w:r w:rsidR="00EB3EBB">
        <w:rPr>
          <w:rFonts w:asciiTheme="minorHAnsi" w:hAnsiTheme="minorHAnsi" w:cstheme="minorHAnsi"/>
        </w:rPr>
        <w:t xml:space="preserve">divided for payment in accordance </w:t>
      </w:r>
      <w:r w:rsidRPr="009F7126">
        <w:rPr>
          <w:rFonts w:asciiTheme="minorHAnsi" w:hAnsiTheme="minorHAnsi" w:cstheme="minorHAnsi"/>
        </w:rPr>
        <w:t xml:space="preserve">with the </w:t>
      </w:r>
      <w:r w:rsidR="00EB3EBB">
        <w:rPr>
          <w:rFonts w:asciiTheme="minorHAnsi" w:hAnsiTheme="minorHAnsi" w:cstheme="minorHAnsi"/>
        </w:rPr>
        <w:t xml:space="preserve">split </w:t>
      </w:r>
      <w:r>
        <w:rPr>
          <w:rFonts w:asciiTheme="minorHAnsi" w:hAnsiTheme="minorHAnsi" w:cstheme="minorHAnsi"/>
        </w:rPr>
        <w:t xml:space="preserve">(between member and assignee) </w:t>
      </w:r>
      <w:r w:rsidR="00EB3EBB">
        <w:rPr>
          <w:rFonts w:asciiTheme="minorHAnsi" w:hAnsiTheme="minorHAnsi" w:cstheme="minorHAnsi"/>
        </w:rPr>
        <w:t>stipulated in the PAO.</w:t>
      </w:r>
    </w:p>
    <w:p w:rsidR="00EB3EBB" w:rsidRDefault="00EB3EBB" w:rsidP="00FF04A0">
      <w:pPr>
        <w:pStyle w:val="NormalWeb"/>
        <w:jc w:val="both"/>
        <w:rPr>
          <w:rFonts w:asciiTheme="minorHAnsi" w:hAnsiTheme="minorHAnsi" w:cstheme="minorHAnsi"/>
        </w:rPr>
      </w:pPr>
    </w:p>
    <w:p w:rsidR="00FF04A0" w:rsidRDefault="00FF04A0" w:rsidP="00885071">
      <w:pPr>
        <w:contextualSpacing/>
        <w:jc w:val="both"/>
        <w:rPr>
          <w:rFonts w:asciiTheme="minorHAnsi" w:hAnsiTheme="minorHAnsi" w:cstheme="minorHAnsi"/>
        </w:rPr>
      </w:pPr>
    </w:p>
    <w:p w:rsidR="006C4767" w:rsidRPr="006C4767" w:rsidRDefault="006C4767" w:rsidP="00885071">
      <w:pPr>
        <w:contextualSpacing/>
        <w:jc w:val="both"/>
        <w:rPr>
          <w:rFonts w:asciiTheme="minorHAnsi" w:hAnsiTheme="minorHAnsi" w:cstheme="minorHAnsi"/>
          <w:b/>
        </w:rPr>
      </w:pPr>
      <w:r w:rsidRPr="006C4767">
        <w:rPr>
          <w:rFonts w:asciiTheme="minorHAnsi" w:hAnsiTheme="minorHAnsi" w:cstheme="minorHAnsi"/>
          <w:b/>
        </w:rPr>
        <w:t>Disclaimer</w:t>
      </w:r>
    </w:p>
    <w:p w:rsidR="006C4767" w:rsidRDefault="006C4767" w:rsidP="00885071">
      <w:pPr>
        <w:contextualSpacing/>
        <w:jc w:val="both"/>
        <w:rPr>
          <w:rFonts w:asciiTheme="minorHAnsi" w:hAnsiTheme="minorHAnsi" w:cstheme="minorHAnsi"/>
        </w:rPr>
      </w:pPr>
    </w:p>
    <w:p w:rsidR="00B70910" w:rsidRDefault="00745F8A" w:rsidP="00885071">
      <w:pPr>
        <w:contextualSpacing/>
        <w:jc w:val="both"/>
        <w:rPr>
          <w:rFonts w:asciiTheme="minorHAnsi" w:hAnsiTheme="minorHAnsi" w:cstheme="minorHAnsi"/>
        </w:rPr>
      </w:pPr>
      <w:r>
        <w:rPr>
          <w:rFonts w:asciiTheme="minorHAnsi" w:hAnsiTheme="minorHAnsi" w:cstheme="minorHAnsi"/>
        </w:rPr>
        <w:t>18</w:t>
      </w:r>
      <w:r w:rsidR="006C4767">
        <w:rPr>
          <w:rFonts w:asciiTheme="minorHAnsi" w:hAnsiTheme="minorHAnsi" w:cstheme="minorHAnsi"/>
        </w:rPr>
        <w:t xml:space="preserve">. Insofar as it describes the Public Service Pension Reduction (PSPR) and connected matters, this circular is believed to give correct and pertinent information. However it carries no warranty </w:t>
      </w:r>
      <w:r w:rsidR="001C5DE0">
        <w:rPr>
          <w:rFonts w:asciiTheme="minorHAnsi" w:hAnsiTheme="minorHAnsi" w:cstheme="minorHAnsi"/>
        </w:rPr>
        <w:t xml:space="preserve">as to </w:t>
      </w:r>
      <w:r w:rsidR="006C4767">
        <w:rPr>
          <w:rFonts w:asciiTheme="minorHAnsi" w:hAnsiTheme="minorHAnsi" w:cstheme="minorHAnsi"/>
        </w:rPr>
        <w:t xml:space="preserve">that information, and is not a legal interpretation of the relevant legislation. That legislation, in particular the Financial Emergency Measures in the Public Interest Act 2010 </w:t>
      </w:r>
      <w:r w:rsidR="00D700E8">
        <w:rPr>
          <w:rFonts w:asciiTheme="minorHAnsi" w:hAnsiTheme="minorHAnsi" w:cstheme="minorHAnsi"/>
        </w:rPr>
        <w:t>(</w:t>
      </w:r>
      <w:r w:rsidR="006C4767">
        <w:rPr>
          <w:rFonts w:asciiTheme="minorHAnsi" w:hAnsiTheme="minorHAnsi" w:cstheme="minorHAnsi"/>
        </w:rPr>
        <w:t>as amended</w:t>
      </w:r>
      <w:r w:rsidR="00D700E8">
        <w:rPr>
          <w:rFonts w:asciiTheme="minorHAnsi" w:hAnsiTheme="minorHAnsi" w:cstheme="minorHAnsi"/>
        </w:rPr>
        <w:t>)</w:t>
      </w:r>
      <w:r w:rsidR="006C4767">
        <w:rPr>
          <w:rFonts w:asciiTheme="minorHAnsi" w:hAnsiTheme="minorHAnsi" w:cstheme="minorHAnsi"/>
        </w:rPr>
        <w:t xml:space="preserve"> in respect of PSPR, is the authoritative reference </w:t>
      </w:r>
      <w:r w:rsidR="001C5DE0">
        <w:rPr>
          <w:rFonts w:asciiTheme="minorHAnsi" w:hAnsiTheme="minorHAnsi" w:cstheme="minorHAnsi"/>
        </w:rPr>
        <w:t>on t</w:t>
      </w:r>
      <w:r w:rsidR="006C4767">
        <w:rPr>
          <w:rFonts w:asciiTheme="minorHAnsi" w:hAnsiTheme="minorHAnsi" w:cstheme="minorHAnsi"/>
        </w:rPr>
        <w:t>he matters covered</w:t>
      </w:r>
      <w:r w:rsidR="001C5DE0">
        <w:rPr>
          <w:rFonts w:asciiTheme="minorHAnsi" w:hAnsiTheme="minorHAnsi" w:cstheme="minorHAnsi"/>
        </w:rPr>
        <w:t>.</w:t>
      </w:r>
    </w:p>
    <w:p w:rsidR="001C5DE0" w:rsidRDefault="001C5DE0" w:rsidP="00346B74">
      <w:pPr>
        <w:rPr>
          <w:rFonts w:asciiTheme="minorHAnsi" w:hAnsiTheme="minorHAnsi" w:cstheme="minorHAnsi"/>
          <w:b/>
          <w:color w:val="000000"/>
        </w:rPr>
      </w:pPr>
    </w:p>
    <w:p w:rsidR="00EF3DD4" w:rsidRDefault="00EF3DD4" w:rsidP="00346B74">
      <w:pPr>
        <w:rPr>
          <w:rFonts w:asciiTheme="minorHAnsi" w:hAnsiTheme="minorHAnsi" w:cstheme="minorHAnsi"/>
          <w:b/>
          <w:color w:val="000000"/>
        </w:rPr>
      </w:pPr>
    </w:p>
    <w:p w:rsidR="00346B74" w:rsidRPr="00FE2A28" w:rsidRDefault="00346B74" w:rsidP="00346B74">
      <w:pPr>
        <w:rPr>
          <w:rFonts w:asciiTheme="minorHAnsi" w:hAnsiTheme="minorHAnsi" w:cstheme="minorHAnsi"/>
          <w:b/>
          <w:color w:val="000000"/>
        </w:rPr>
      </w:pPr>
      <w:r>
        <w:rPr>
          <w:rFonts w:asciiTheme="minorHAnsi" w:hAnsiTheme="minorHAnsi" w:cstheme="minorHAnsi"/>
          <w:b/>
          <w:color w:val="000000"/>
        </w:rPr>
        <w:t>Circulation</w:t>
      </w:r>
    </w:p>
    <w:p w:rsidR="00346B74" w:rsidRDefault="00346B74" w:rsidP="00346B74">
      <w:pPr>
        <w:contextualSpacing/>
        <w:jc w:val="both"/>
        <w:rPr>
          <w:rFonts w:asciiTheme="minorHAnsi" w:hAnsiTheme="minorHAnsi" w:cstheme="minorHAnsi"/>
        </w:rPr>
      </w:pPr>
    </w:p>
    <w:p w:rsidR="001C5DE0" w:rsidRDefault="00745F8A" w:rsidP="00346B74">
      <w:pPr>
        <w:contextualSpacing/>
        <w:jc w:val="both"/>
        <w:rPr>
          <w:rFonts w:asciiTheme="minorHAnsi" w:hAnsiTheme="minorHAnsi" w:cstheme="minorHAnsi"/>
        </w:rPr>
      </w:pPr>
      <w:r>
        <w:rPr>
          <w:rFonts w:asciiTheme="minorHAnsi" w:hAnsiTheme="minorHAnsi" w:cstheme="minorHAnsi"/>
        </w:rPr>
        <w:t>19</w:t>
      </w:r>
      <w:r w:rsidR="00346B74">
        <w:rPr>
          <w:rFonts w:asciiTheme="minorHAnsi" w:hAnsiTheme="minorHAnsi" w:cstheme="minorHAnsi"/>
        </w:rPr>
        <w:t>. This circular is a public domain document which th</w:t>
      </w:r>
      <w:r w:rsidR="001C5DE0">
        <w:rPr>
          <w:rFonts w:asciiTheme="minorHAnsi" w:hAnsiTheme="minorHAnsi" w:cstheme="minorHAnsi"/>
        </w:rPr>
        <w:t>is</w:t>
      </w:r>
      <w:r w:rsidR="00752E00">
        <w:rPr>
          <w:rFonts w:asciiTheme="minorHAnsi" w:hAnsiTheme="minorHAnsi" w:cstheme="minorHAnsi"/>
        </w:rPr>
        <w:t xml:space="preserve"> Department </w:t>
      </w:r>
      <w:r w:rsidR="00346B74">
        <w:rPr>
          <w:rFonts w:asciiTheme="minorHAnsi" w:hAnsiTheme="minorHAnsi" w:cstheme="minorHAnsi"/>
        </w:rPr>
        <w:t xml:space="preserve">will </w:t>
      </w:r>
      <w:r w:rsidR="00752E00">
        <w:rPr>
          <w:rFonts w:asciiTheme="minorHAnsi" w:hAnsiTheme="minorHAnsi" w:cstheme="minorHAnsi"/>
        </w:rPr>
        <w:t xml:space="preserve">post to </w:t>
      </w:r>
      <w:r w:rsidR="00D700E8">
        <w:rPr>
          <w:rFonts w:asciiTheme="minorHAnsi" w:hAnsiTheme="minorHAnsi" w:cstheme="minorHAnsi"/>
        </w:rPr>
        <w:t>customary websites (</w:t>
      </w:r>
      <w:hyperlink r:id="rId10" w:history="1">
        <w:r w:rsidR="00346B74" w:rsidRPr="001D51DA">
          <w:rPr>
            <w:rStyle w:val="Hyperlink"/>
            <w:rFonts w:asciiTheme="minorHAnsi" w:hAnsiTheme="minorHAnsi" w:cstheme="minorHAnsi"/>
          </w:rPr>
          <w:t>www.circulars.gov.ie</w:t>
        </w:r>
      </w:hyperlink>
      <w:r w:rsidR="00D700E8">
        <w:rPr>
          <w:rFonts w:asciiTheme="minorHAnsi" w:hAnsiTheme="minorHAnsi" w:cstheme="minorHAnsi"/>
        </w:rPr>
        <w:t xml:space="preserve"> </w:t>
      </w:r>
      <w:hyperlink r:id="rId11" w:history="1">
        <w:r w:rsidR="00543CA3" w:rsidRPr="002143A1">
          <w:rPr>
            <w:rStyle w:val="Hyperlink"/>
            <w:rFonts w:asciiTheme="minorHAnsi" w:hAnsiTheme="minorHAnsi" w:cstheme="minorHAnsi"/>
          </w:rPr>
          <w:t>www.per.gov.ie/pensions</w:t>
        </w:r>
      </w:hyperlink>
      <w:r w:rsidR="00543CA3">
        <w:rPr>
          <w:rFonts w:asciiTheme="minorHAnsi" w:hAnsiTheme="minorHAnsi" w:cstheme="minorHAnsi"/>
        </w:rPr>
        <w:t xml:space="preserve">). </w:t>
      </w:r>
      <w:r w:rsidR="00346B74">
        <w:rPr>
          <w:rFonts w:asciiTheme="minorHAnsi" w:hAnsiTheme="minorHAnsi" w:cstheme="minorHAnsi"/>
        </w:rPr>
        <w:t>It is</w:t>
      </w:r>
      <w:r w:rsidR="00F05176">
        <w:rPr>
          <w:rFonts w:asciiTheme="minorHAnsi" w:hAnsiTheme="minorHAnsi" w:cstheme="minorHAnsi"/>
        </w:rPr>
        <w:t xml:space="preserve"> intended mainly </w:t>
      </w:r>
      <w:r w:rsidR="00346B74">
        <w:rPr>
          <w:rFonts w:asciiTheme="minorHAnsi" w:hAnsiTheme="minorHAnsi" w:cstheme="minorHAnsi"/>
        </w:rPr>
        <w:t>as a reference for personnel in public service workplaces</w:t>
      </w:r>
      <w:r w:rsidR="00752E00">
        <w:rPr>
          <w:rFonts w:asciiTheme="minorHAnsi" w:hAnsiTheme="minorHAnsi" w:cstheme="minorHAnsi"/>
        </w:rPr>
        <w:t xml:space="preserve"> and pension-paying authorities</w:t>
      </w:r>
      <w:r w:rsidR="00453527">
        <w:rPr>
          <w:rFonts w:asciiTheme="minorHAnsi" w:hAnsiTheme="minorHAnsi" w:cstheme="minorHAnsi"/>
        </w:rPr>
        <w:t xml:space="preserve"> whose </w:t>
      </w:r>
      <w:r w:rsidR="00D700E8">
        <w:rPr>
          <w:rFonts w:asciiTheme="minorHAnsi" w:hAnsiTheme="minorHAnsi" w:cstheme="minorHAnsi"/>
        </w:rPr>
        <w:t>duties</w:t>
      </w:r>
      <w:r w:rsidR="00453527">
        <w:rPr>
          <w:rFonts w:asciiTheme="minorHAnsi" w:hAnsiTheme="minorHAnsi" w:cstheme="minorHAnsi"/>
        </w:rPr>
        <w:t xml:space="preserve"> relate to pensions</w:t>
      </w:r>
      <w:r w:rsidR="00346B74">
        <w:rPr>
          <w:rFonts w:asciiTheme="minorHAnsi" w:hAnsiTheme="minorHAnsi" w:cstheme="minorHAnsi"/>
        </w:rPr>
        <w:t xml:space="preserve">, and may also be of interest to public servants and public service </w:t>
      </w:r>
      <w:r w:rsidR="006C4767">
        <w:rPr>
          <w:rFonts w:asciiTheme="minorHAnsi" w:hAnsiTheme="minorHAnsi" w:cstheme="minorHAnsi"/>
        </w:rPr>
        <w:lastRenderedPageBreak/>
        <w:t>pensioners</w:t>
      </w:r>
      <w:r w:rsidR="00346B74">
        <w:rPr>
          <w:rFonts w:asciiTheme="minorHAnsi" w:hAnsiTheme="minorHAnsi" w:cstheme="minorHAnsi"/>
        </w:rPr>
        <w:t xml:space="preserve">. It </w:t>
      </w:r>
      <w:r w:rsidR="00D700E8">
        <w:rPr>
          <w:rFonts w:asciiTheme="minorHAnsi" w:hAnsiTheme="minorHAnsi" w:cstheme="minorHAnsi"/>
        </w:rPr>
        <w:t>can</w:t>
      </w:r>
      <w:r w:rsidR="00346B74">
        <w:rPr>
          <w:rFonts w:asciiTheme="minorHAnsi" w:hAnsiTheme="minorHAnsi" w:cstheme="minorHAnsi"/>
        </w:rPr>
        <w:t xml:space="preserve"> be freely distributed to any employees, retirees, pensioners or other persons according as employers </w:t>
      </w:r>
      <w:r w:rsidR="00F05176">
        <w:rPr>
          <w:rFonts w:asciiTheme="minorHAnsi" w:hAnsiTheme="minorHAnsi" w:cstheme="minorHAnsi"/>
        </w:rPr>
        <w:t>and</w:t>
      </w:r>
      <w:r w:rsidR="00752E00">
        <w:rPr>
          <w:rFonts w:asciiTheme="minorHAnsi" w:hAnsiTheme="minorHAnsi" w:cstheme="minorHAnsi"/>
        </w:rPr>
        <w:t xml:space="preserve"> </w:t>
      </w:r>
      <w:r w:rsidR="00346B74">
        <w:rPr>
          <w:rFonts w:asciiTheme="minorHAnsi" w:hAnsiTheme="minorHAnsi" w:cstheme="minorHAnsi"/>
        </w:rPr>
        <w:t>pension-paying authorities</w:t>
      </w:r>
      <w:r w:rsidR="006C4767">
        <w:rPr>
          <w:rFonts w:asciiTheme="minorHAnsi" w:hAnsiTheme="minorHAnsi" w:cstheme="minorHAnsi"/>
        </w:rPr>
        <w:t xml:space="preserve"> see fit.</w:t>
      </w:r>
      <w:r w:rsidR="00346B74">
        <w:rPr>
          <w:rFonts w:asciiTheme="minorHAnsi" w:hAnsiTheme="minorHAnsi" w:cstheme="minorHAnsi"/>
        </w:rPr>
        <w:t xml:space="preserve"> </w:t>
      </w:r>
    </w:p>
    <w:p w:rsidR="00F05176" w:rsidRDefault="00F05176" w:rsidP="00346B74">
      <w:pPr>
        <w:contextualSpacing/>
        <w:jc w:val="both"/>
        <w:rPr>
          <w:rFonts w:asciiTheme="minorHAnsi" w:hAnsiTheme="minorHAnsi" w:cstheme="minorHAnsi"/>
        </w:rPr>
      </w:pPr>
    </w:p>
    <w:p w:rsidR="001C5DE0" w:rsidRPr="0014510D" w:rsidRDefault="00EB3EBB" w:rsidP="00346B74">
      <w:pPr>
        <w:contextualSpacing/>
        <w:jc w:val="both"/>
        <w:rPr>
          <w:rFonts w:asciiTheme="minorHAnsi" w:hAnsiTheme="minorHAnsi" w:cstheme="minorHAnsi"/>
        </w:rPr>
      </w:pPr>
      <w:r>
        <w:rPr>
          <w:rFonts w:asciiTheme="minorHAnsi" w:hAnsiTheme="minorHAnsi" w:cstheme="minorHAnsi"/>
        </w:rPr>
        <w:t>2</w:t>
      </w:r>
      <w:r w:rsidR="00745F8A">
        <w:rPr>
          <w:rFonts w:asciiTheme="minorHAnsi" w:hAnsiTheme="minorHAnsi" w:cstheme="minorHAnsi"/>
        </w:rPr>
        <w:t>0</w:t>
      </w:r>
      <w:r w:rsidR="001C5DE0" w:rsidRPr="0014510D">
        <w:rPr>
          <w:rFonts w:asciiTheme="minorHAnsi" w:hAnsiTheme="minorHAnsi" w:cstheme="minorHAnsi"/>
        </w:rPr>
        <w:t xml:space="preserve">. Personnel Officers </w:t>
      </w:r>
      <w:r w:rsidR="0014510D" w:rsidRPr="0014510D">
        <w:rPr>
          <w:rFonts w:asciiTheme="minorHAnsi" w:hAnsiTheme="minorHAnsi" w:cstheme="minorHAnsi"/>
        </w:rPr>
        <w:t xml:space="preserve">in </w:t>
      </w:r>
      <w:r w:rsidR="001C5DE0" w:rsidRPr="0014510D">
        <w:rPr>
          <w:rFonts w:asciiTheme="minorHAnsi" w:hAnsiTheme="minorHAnsi" w:cstheme="minorHAnsi"/>
        </w:rPr>
        <w:t>Government Department</w:t>
      </w:r>
      <w:r w:rsidR="008469B6" w:rsidRPr="0014510D">
        <w:rPr>
          <w:rFonts w:asciiTheme="minorHAnsi" w:hAnsiTheme="minorHAnsi" w:cstheme="minorHAnsi"/>
        </w:rPr>
        <w:t>s</w:t>
      </w:r>
      <w:r w:rsidR="001C5DE0" w:rsidRPr="0014510D">
        <w:rPr>
          <w:rFonts w:asciiTheme="minorHAnsi" w:hAnsiTheme="minorHAnsi" w:cstheme="minorHAnsi"/>
        </w:rPr>
        <w:t xml:space="preserve"> / Offices receiving this circular are </w:t>
      </w:r>
      <w:r w:rsidR="0014510D">
        <w:rPr>
          <w:rFonts w:asciiTheme="minorHAnsi" w:hAnsiTheme="minorHAnsi" w:cstheme="minorHAnsi"/>
        </w:rPr>
        <w:t xml:space="preserve">asked </w:t>
      </w:r>
      <w:r w:rsidR="001C5DE0" w:rsidRPr="0014510D">
        <w:rPr>
          <w:rFonts w:asciiTheme="minorHAnsi" w:hAnsiTheme="minorHAnsi" w:cstheme="minorHAnsi"/>
        </w:rPr>
        <w:t>to send it in the normal way to bodies operating under the aegis</w:t>
      </w:r>
      <w:r w:rsidR="00817331" w:rsidRPr="0014510D">
        <w:rPr>
          <w:rFonts w:asciiTheme="minorHAnsi" w:hAnsiTheme="minorHAnsi" w:cstheme="minorHAnsi"/>
        </w:rPr>
        <w:t xml:space="preserve"> of their Department / Office</w:t>
      </w:r>
      <w:r w:rsidR="001C5DE0" w:rsidRPr="0014510D">
        <w:rPr>
          <w:rFonts w:asciiTheme="minorHAnsi" w:hAnsiTheme="minorHAnsi" w:cstheme="minorHAnsi"/>
        </w:rPr>
        <w:t xml:space="preserve">. </w:t>
      </w:r>
    </w:p>
    <w:p w:rsidR="006E51FC" w:rsidRDefault="006E51FC" w:rsidP="00346B74">
      <w:pPr>
        <w:rPr>
          <w:rFonts w:asciiTheme="minorHAnsi" w:hAnsiTheme="minorHAnsi" w:cstheme="minorHAnsi"/>
          <w:b/>
          <w:color w:val="000000"/>
        </w:rPr>
      </w:pPr>
    </w:p>
    <w:p w:rsidR="00346B74" w:rsidRPr="00FE2A28" w:rsidRDefault="00346B74" w:rsidP="00346B74">
      <w:pPr>
        <w:rPr>
          <w:rFonts w:asciiTheme="minorHAnsi" w:hAnsiTheme="minorHAnsi" w:cstheme="minorHAnsi"/>
          <w:b/>
          <w:color w:val="000000"/>
        </w:rPr>
      </w:pPr>
      <w:r w:rsidRPr="00FE2A28">
        <w:rPr>
          <w:rFonts w:asciiTheme="minorHAnsi" w:hAnsiTheme="minorHAnsi" w:cstheme="minorHAnsi"/>
          <w:b/>
          <w:color w:val="000000"/>
        </w:rPr>
        <w:t>Queries</w:t>
      </w:r>
    </w:p>
    <w:p w:rsidR="00346B74" w:rsidRPr="00FE2A28" w:rsidRDefault="00346B74" w:rsidP="00346B74">
      <w:pPr>
        <w:rPr>
          <w:rFonts w:asciiTheme="minorHAnsi" w:hAnsiTheme="minorHAnsi" w:cstheme="minorHAnsi"/>
          <w:color w:val="000000"/>
          <w:lang w:val="en-GB"/>
        </w:rPr>
      </w:pPr>
    </w:p>
    <w:p w:rsidR="00346B74" w:rsidRDefault="00F05176" w:rsidP="00346B74">
      <w:pPr>
        <w:tabs>
          <w:tab w:val="num" w:pos="540"/>
        </w:tabs>
        <w:jc w:val="both"/>
        <w:rPr>
          <w:rFonts w:asciiTheme="minorHAnsi" w:hAnsiTheme="minorHAnsi" w:cstheme="minorHAnsi"/>
          <w:color w:val="000000"/>
        </w:rPr>
      </w:pPr>
      <w:r>
        <w:rPr>
          <w:rFonts w:asciiTheme="minorHAnsi" w:hAnsiTheme="minorHAnsi" w:cstheme="minorHAnsi"/>
          <w:bCs/>
          <w:color w:val="000000"/>
        </w:rPr>
        <w:t>2</w:t>
      </w:r>
      <w:r w:rsidR="00745F8A">
        <w:rPr>
          <w:rFonts w:asciiTheme="minorHAnsi" w:hAnsiTheme="minorHAnsi" w:cstheme="minorHAnsi"/>
          <w:bCs/>
          <w:color w:val="000000"/>
        </w:rPr>
        <w:t>1</w:t>
      </w:r>
      <w:r w:rsidR="00346B74">
        <w:rPr>
          <w:rFonts w:asciiTheme="minorHAnsi" w:hAnsiTheme="minorHAnsi" w:cstheme="minorHAnsi"/>
          <w:bCs/>
          <w:color w:val="000000"/>
        </w:rPr>
        <w:t>. Queries about this c</w:t>
      </w:r>
      <w:r w:rsidR="00346B74" w:rsidRPr="00FE2A28">
        <w:rPr>
          <w:rFonts w:asciiTheme="minorHAnsi" w:hAnsiTheme="minorHAnsi" w:cstheme="minorHAnsi"/>
          <w:bCs/>
          <w:color w:val="000000"/>
        </w:rPr>
        <w:t>ircular may be pursued as follows</w:t>
      </w:r>
      <w:r w:rsidR="00346B74" w:rsidRPr="00FE2A28">
        <w:rPr>
          <w:rFonts w:asciiTheme="minorHAnsi" w:hAnsiTheme="minorHAnsi" w:cstheme="minorHAnsi"/>
          <w:color w:val="000000"/>
        </w:rPr>
        <w:t>:</w:t>
      </w:r>
    </w:p>
    <w:p w:rsidR="001C77EA" w:rsidRDefault="001C77EA" w:rsidP="00346B74">
      <w:pPr>
        <w:tabs>
          <w:tab w:val="num" w:pos="540"/>
        </w:tabs>
        <w:jc w:val="both"/>
        <w:rPr>
          <w:rFonts w:asciiTheme="minorHAnsi" w:hAnsiTheme="minorHAnsi" w:cstheme="minorHAnsi"/>
          <w:color w:val="000000"/>
        </w:rPr>
      </w:pPr>
    </w:p>
    <w:p w:rsidR="00543CA3" w:rsidRPr="001C77EA" w:rsidRDefault="00346B74" w:rsidP="00447D17">
      <w:pPr>
        <w:numPr>
          <w:ilvl w:val="0"/>
          <w:numId w:val="1"/>
        </w:numPr>
        <w:jc w:val="both"/>
        <w:rPr>
          <w:rFonts w:asciiTheme="minorHAnsi" w:hAnsiTheme="minorHAnsi" w:cstheme="minorHAnsi"/>
          <w:color w:val="000000"/>
          <w:lang w:val="en-GB"/>
        </w:rPr>
      </w:pPr>
      <w:r w:rsidRPr="00FE2A28">
        <w:rPr>
          <w:rFonts w:asciiTheme="minorHAnsi" w:hAnsiTheme="minorHAnsi" w:cstheme="minorHAnsi"/>
          <w:color w:val="000000"/>
        </w:rPr>
        <w:t>Individual public servants</w:t>
      </w:r>
      <w:r w:rsidR="006C4767">
        <w:rPr>
          <w:rFonts w:asciiTheme="minorHAnsi" w:hAnsiTheme="minorHAnsi" w:cstheme="minorHAnsi"/>
          <w:color w:val="000000"/>
        </w:rPr>
        <w:t xml:space="preserve"> </w:t>
      </w:r>
      <w:r w:rsidR="008469B6">
        <w:rPr>
          <w:rFonts w:asciiTheme="minorHAnsi" w:hAnsiTheme="minorHAnsi" w:cstheme="minorHAnsi"/>
          <w:color w:val="000000"/>
        </w:rPr>
        <w:t xml:space="preserve">and </w:t>
      </w:r>
      <w:r w:rsidR="006C4767">
        <w:rPr>
          <w:rFonts w:asciiTheme="minorHAnsi" w:hAnsiTheme="minorHAnsi" w:cstheme="minorHAnsi"/>
          <w:color w:val="000000"/>
        </w:rPr>
        <w:t>public service pensioners should raise q</w:t>
      </w:r>
      <w:r w:rsidRPr="00FE2A28">
        <w:rPr>
          <w:rFonts w:asciiTheme="minorHAnsi" w:hAnsiTheme="minorHAnsi" w:cstheme="minorHAnsi"/>
          <w:color w:val="000000"/>
        </w:rPr>
        <w:t xml:space="preserve">ueries </w:t>
      </w:r>
      <w:r w:rsidR="006C4767">
        <w:rPr>
          <w:rFonts w:asciiTheme="minorHAnsi" w:hAnsiTheme="minorHAnsi" w:cstheme="minorHAnsi"/>
          <w:color w:val="000000"/>
        </w:rPr>
        <w:t>with their employer / pension-paying authority</w:t>
      </w:r>
      <w:r w:rsidRPr="00FE2A28">
        <w:rPr>
          <w:rFonts w:asciiTheme="minorHAnsi" w:hAnsiTheme="minorHAnsi" w:cstheme="minorHAnsi"/>
          <w:color w:val="000000"/>
        </w:rPr>
        <w:t>.</w:t>
      </w:r>
    </w:p>
    <w:p w:rsidR="001C77EA" w:rsidRPr="00543CA3" w:rsidRDefault="001C77EA" w:rsidP="001C77EA">
      <w:pPr>
        <w:ind w:left="900"/>
        <w:jc w:val="both"/>
        <w:rPr>
          <w:rFonts w:asciiTheme="minorHAnsi" w:hAnsiTheme="minorHAnsi" w:cstheme="minorHAnsi"/>
          <w:color w:val="000000"/>
          <w:lang w:val="en-GB"/>
        </w:rPr>
      </w:pPr>
    </w:p>
    <w:p w:rsidR="001C77EA" w:rsidRPr="001C77EA" w:rsidRDefault="008469B6" w:rsidP="00447D17">
      <w:pPr>
        <w:numPr>
          <w:ilvl w:val="0"/>
          <w:numId w:val="1"/>
        </w:numPr>
        <w:jc w:val="both"/>
        <w:rPr>
          <w:rFonts w:asciiTheme="minorHAnsi" w:hAnsiTheme="minorHAnsi" w:cstheme="minorHAnsi"/>
          <w:color w:val="000000"/>
          <w:lang w:val="en-GB"/>
        </w:rPr>
      </w:pPr>
      <w:r>
        <w:rPr>
          <w:rFonts w:asciiTheme="minorHAnsi" w:hAnsiTheme="minorHAnsi" w:cstheme="minorHAnsi"/>
        </w:rPr>
        <w:t>Public s</w:t>
      </w:r>
      <w:r w:rsidR="001C5DE0">
        <w:rPr>
          <w:rFonts w:asciiTheme="minorHAnsi" w:hAnsiTheme="minorHAnsi" w:cstheme="minorHAnsi"/>
        </w:rPr>
        <w:t xml:space="preserve">ervice </w:t>
      </w:r>
      <w:r>
        <w:rPr>
          <w:rFonts w:asciiTheme="minorHAnsi" w:hAnsiTheme="minorHAnsi" w:cstheme="minorHAnsi"/>
        </w:rPr>
        <w:t>employers and p</w:t>
      </w:r>
      <w:r w:rsidR="001C5DE0">
        <w:rPr>
          <w:rFonts w:asciiTheme="minorHAnsi" w:hAnsiTheme="minorHAnsi" w:cstheme="minorHAnsi"/>
        </w:rPr>
        <w:t>ension-</w:t>
      </w:r>
      <w:r>
        <w:rPr>
          <w:rFonts w:asciiTheme="minorHAnsi" w:hAnsiTheme="minorHAnsi" w:cstheme="minorHAnsi"/>
        </w:rPr>
        <w:t>p</w:t>
      </w:r>
      <w:r w:rsidR="001C5DE0">
        <w:rPr>
          <w:rFonts w:asciiTheme="minorHAnsi" w:hAnsiTheme="minorHAnsi" w:cstheme="minorHAnsi"/>
        </w:rPr>
        <w:t xml:space="preserve">aying </w:t>
      </w:r>
      <w:r>
        <w:rPr>
          <w:rFonts w:asciiTheme="minorHAnsi" w:hAnsiTheme="minorHAnsi" w:cstheme="minorHAnsi"/>
        </w:rPr>
        <w:t>a</w:t>
      </w:r>
      <w:r w:rsidR="001C5DE0">
        <w:rPr>
          <w:rFonts w:asciiTheme="minorHAnsi" w:hAnsiTheme="minorHAnsi" w:cstheme="minorHAnsi"/>
        </w:rPr>
        <w:t>uthorities</w:t>
      </w:r>
      <w:r w:rsidR="001C5DE0">
        <w:rPr>
          <w:rFonts w:asciiTheme="minorHAnsi" w:hAnsiTheme="minorHAnsi" w:cstheme="minorHAnsi"/>
          <w:color w:val="000000"/>
        </w:rPr>
        <w:t xml:space="preserve"> should pursue queries through normal channels </w:t>
      </w:r>
      <w:r w:rsidR="00455349">
        <w:rPr>
          <w:rFonts w:asciiTheme="minorHAnsi" w:hAnsiTheme="minorHAnsi" w:cstheme="minorHAnsi"/>
          <w:color w:val="000000"/>
        </w:rPr>
        <w:t xml:space="preserve">(e.g. parent Department) </w:t>
      </w:r>
      <w:r w:rsidR="001C77EA">
        <w:rPr>
          <w:rFonts w:asciiTheme="minorHAnsi" w:hAnsiTheme="minorHAnsi" w:cstheme="minorHAnsi"/>
          <w:color w:val="000000"/>
        </w:rPr>
        <w:t>o</w:t>
      </w:r>
      <w:r w:rsidR="001C5DE0">
        <w:rPr>
          <w:rFonts w:asciiTheme="minorHAnsi" w:hAnsiTheme="minorHAnsi" w:cstheme="minorHAnsi"/>
          <w:color w:val="000000"/>
        </w:rPr>
        <w:t xml:space="preserve">r may send queries </w:t>
      </w:r>
      <w:r w:rsidR="001C77EA">
        <w:rPr>
          <w:rFonts w:asciiTheme="minorHAnsi" w:hAnsiTheme="minorHAnsi" w:cstheme="minorHAnsi"/>
          <w:color w:val="000000"/>
        </w:rPr>
        <w:t xml:space="preserve">(preferably </w:t>
      </w:r>
      <w:r w:rsidR="001C5DE0">
        <w:rPr>
          <w:rFonts w:asciiTheme="minorHAnsi" w:hAnsiTheme="minorHAnsi" w:cstheme="minorHAnsi"/>
          <w:color w:val="000000"/>
        </w:rPr>
        <w:t>by email</w:t>
      </w:r>
      <w:r w:rsidR="00455349">
        <w:rPr>
          <w:rFonts w:asciiTheme="minorHAnsi" w:hAnsiTheme="minorHAnsi" w:cstheme="minorHAnsi"/>
          <w:color w:val="000000"/>
        </w:rPr>
        <w:t>, placing “</w:t>
      </w:r>
      <w:r w:rsidR="00455349">
        <w:rPr>
          <w:rFonts w:asciiTheme="minorHAnsi" w:hAnsiTheme="minorHAnsi" w:cstheme="minorHAnsi"/>
        </w:rPr>
        <w:t xml:space="preserve">Circular </w:t>
      </w:r>
      <w:r w:rsidR="004568FE">
        <w:rPr>
          <w:rFonts w:asciiTheme="minorHAnsi" w:hAnsiTheme="minorHAnsi" w:cstheme="minorHAnsi"/>
        </w:rPr>
        <w:t>18</w:t>
      </w:r>
      <w:r w:rsidR="00455349">
        <w:rPr>
          <w:rFonts w:asciiTheme="minorHAnsi" w:hAnsiTheme="minorHAnsi" w:cstheme="minorHAnsi"/>
        </w:rPr>
        <w:t>/2015 – PSPR” in the subject line</w:t>
      </w:r>
      <w:r w:rsidR="001C77EA">
        <w:rPr>
          <w:rFonts w:asciiTheme="minorHAnsi" w:hAnsiTheme="minorHAnsi" w:cstheme="minorHAnsi"/>
          <w:color w:val="000000"/>
        </w:rPr>
        <w:t>)</w:t>
      </w:r>
      <w:r w:rsidR="001C5DE0">
        <w:rPr>
          <w:rFonts w:asciiTheme="minorHAnsi" w:hAnsiTheme="minorHAnsi" w:cstheme="minorHAnsi"/>
          <w:color w:val="000000"/>
        </w:rPr>
        <w:t xml:space="preserve"> direct to </w:t>
      </w:r>
      <w:r w:rsidR="001C77EA">
        <w:rPr>
          <w:rFonts w:asciiTheme="minorHAnsi" w:hAnsiTheme="minorHAnsi" w:cstheme="minorHAnsi"/>
          <w:color w:val="000000"/>
        </w:rPr>
        <w:t>the following offic</w:t>
      </w:r>
      <w:r w:rsidR="00455349">
        <w:rPr>
          <w:rFonts w:asciiTheme="minorHAnsi" w:hAnsiTheme="minorHAnsi" w:cstheme="minorHAnsi"/>
          <w:color w:val="000000"/>
        </w:rPr>
        <w:t>ials</w:t>
      </w:r>
      <w:r w:rsidR="001C77EA">
        <w:rPr>
          <w:rFonts w:asciiTheme="minorHAnsi" w:hAnsiTheme="minorHAnsi" w:cstheme="minorHAnsi"/>
          <w:color w:val="000000"/>
        </w:rPr>
        <w:t xml:space="preserve"> of </w:t>
      </w:r>
      <w:r w:rsidR="001C5DE0">
        <w:rPr>
          <w:rFonts w:asciiTheme="minorHAnsi" w:hAnsiTheme="minorHAnsi" w:cstheme="minorHAnsi"/>
          <w:color w:val="000000"/>
        </w:rPr>
        <w:t>this Department</w:t>
      </w:r>
      <w:r w:rsidR="00455349">
        <w:rPr>
          <w:rFonts w:asciiTheme="minorHAnsi" w:hAnsiTheme="minorHAnsi" w:cstheme="minorHAnsi"/>
          <w:color w:val="000000"/>
        </w:rPr>
        <w:t>:</w:t>
      </w:r>
      <w:r w:rsidR="001C5DE0">
        <w:rPr>
          <w:rFonts w:asciiTheme="minorHAnsi" w:hAnsiTheme="minorHAnsi" w:cstheme="minorHAnsi"/>
          <w:color w:val="000000"/>
        </w:rPr>
        <w:t xml:space="preserve"> </w:t>
      </w:r>
    </w:p>
    <w:p w:rsidR="001C77EA" w:rsidRDefault="001C77EA" w:rsidP="001C77EA">
      <w:pPr>
        <w:pStyle w:val="ListParagraph"/>
        <w:rPr>
          <w:rFonts w:asciiTheme="minorHAnsi" w:hAnsiTheme="minorHAnsi" w:cstheme="minorHAnsi"/>
          <w:color w:val="000000"/>
        </w:rPr>
      </w:pPr>
    </w:p>
    <w:p w:rsidR="001C77EA" w:rsidRDefault="001C77EA" w:rsidP="001C77EA">
      <w:pPr>
        <w:ind w:left="900"/>
        <w:jc w:val="both"/>
        <w:rPr>
          <w:rFonts w:asciiTheme="minorHAnsi" w:hAnsiTheme="minorHAnsi" w:cstheme="minorHAnsi"/>
          <w:color w:val="000000"/>
          <w:lang w:val="en-GB"/>
        </w:rPr>
      </w:pPr>
      <w:r>
        <w:rPr>
          <w:rFonts w:asciiTheme="minorHAnsi" w:hAnsiTheme="minorHAnsi" w:cstheme="minorHAnsi"/>
          <w:color w:val="000000"/>
          <w:lang w:val="en-GB"/>
        </w:rPr>
        <w:t xml:space="preserve">Henry O’Mara [email: </w:t>
      </w:r>
      <w:hyperlink r:id="rId12" w:history="1">
        <w:r w:rsidRPr="002143A1">
          <w:rPr>
            <w:rStyle w:val="Hyperlink"/>
            <w:rFonts w:asciiTheme="minorHAnsi" w:hAnsiTheme="minorHAnsi" w:cstheme="minorHAnsi"/>
            <w:lang w:val="en-GB"/>
          </w:rPr>
          <w:t>henry.o</w:t>
        </w:r>
        <w:r w:rsidR="00745F8A">
          <w:rPr>
            <w:rStyle w:val="Hyperlink"/>
            <w:rFonts w:asciiTheme="minorHAnsi" w:hAnsiTheme="minorHAnsi" w:cstheme="minorHAnsi"/>
            <w:lang w:val="en-GB"/>
          </w:rPr>
          <w:t>’</w:t>
        </w:r>
        <w:r w:rsidRPr="002143A1">
          <w:rPr>
            <w:rStyle w:val="Hyperlink"/>
            <w:rFonts w:asciiTheme="minorHAnsi" w:hAnsiTheme="minorHAnsi" w:cstheme="minorHAnsi"/>
            <w:lang w:val="en-GB"/>
          </w:rPr>
          <w:t>mara@per.gov.ie</w:t>
        </w:r>
      </w:hyperlink>
      <w:r>
        <w:rPr>
          <w:rFonts w:asciiTheme="minorHAnsi" w:hAnsiTheme="minorHAnsi" w:cstheme="minorHAnsi"/>
          <w:color w:val="000000"/>
          <w:lang w:val="en-GB"/>
        </w:rPr>
        <w:t>; tel: 01-6045493]</w:t>
      </w:r>
    </w:p>
    <w:p w:rsidR="001C77EA" w:rsidRDefault="001C77EA" w:rsidP="001C77EA">
      <w:pPr>
        <w:pStyle w:val="ListParagraph"/>
        <w:rPr>
          <w:rFonts w:asciiTheme="minorHAnsi" w:hAnsiTheme="minorHAnsi" w:cstheme="minorHAnsi"/>
          <w:color w:val="000000"/>
          <w:lang w:val="en-GB"/>
        </w:rPr>
      </w:pPr>
    </w:p>
    <w:p w:rsidR="001C77EA" w:rsidRPr="001C77EA" w:rsidRDefault="001C77EA" w:rsidP="001C77EA">
      <w:pPr>
        <w:ind w:left="900"/>
        <w:jc w:val="both"/>
        <w:rPr>
          <w:rFonts w:asciiTheme="minorHAnsi" w:hAnsiTheme="minorHAnsi" w:cstheme="minorHAnsi"/>
          <w:color w:val="000000"/>
          <w:lang w:val="en-GB"/>
        </w:rPr>
      </w:pPr>
      <w:r>
        <w:rPr>
          <w:rFonts w:asciiTheme="minorHAnsi" w:hAnsiTheme="minorHAnsi" w:cstheme="minorHAnsi"/>
          <w:color w:val="000000"/>
          <w:lang w:val="en-GB"/>
        </w:rPr>
        <w:t>Finbar O hAnnrachain [email: Finbar.O’Hannrachain@per.gov.ie; tel: 01-6045448]</w:t>
      </w:r>
    </w:p>
    <w:p w:rsidR="00346B74" w:rsidRDefault="00346B74" w:rsidP="00346B74">
      <w:pPr>
        <w:rPr>
          <w:rFonts w:asciiTheme="minorHAnsi" w:hAnsiTheme="minorHAnsi" w:cstheme="minorHAnsi"/>
          <w:color w:val="000000"/>
        </w:rPr>
      </w:pPr>
    </w:p>
    <w:p w:rsidR="001C77EA" w:rsidRDefault="001C77EA" w:rsidP="00346B74">
      <w:pPr>
        <w:rPr>
          <w:rFonts w:asciiTheme="minorHAnsi" w:hAnsiTheme="minorHAnsi" w:cstheme="minorHAnsi"/>
          <w:color w:val="000000"/>
        </w:rPr>
      </w:pPr>
    </w:p>
    <w:p w:rsidR="00455349" w:rsidRDefault="00455349" w:rsidP="00346B74">
      <w:pPr>
        <w:rPr>
          <w:rFonts w:asciiTheme="minorHAnsi" w:hAnsiTheme="minorHAnsi" w:cstheme="minorHAnsi"/>
          <w:color w:val="000000"/>
        </w:rPr>
      </w:pPr>
    </w:p>
    <w:p w:rsidR="00346B74" w:rsidRPr="00FE2A28" w:rsidRDefault="00346B74" w:rsidP="00346B74">
      <w:pPr>
        <w:rPr>
          <w:rFonts w:asciiTheme="minorHAnsi" w:hAnsiTheme="minorHAnsi" w:cstheme="minorHAnsi"/>
          <w:color w:val="000000"/>
        </w:rPr>
      </w:pPr>
      <w:r w:rsidRPr="00FE2A28">
        <w:rPr>
          <w:rFonts w:asciiTheme="minorHAnsi" w:hAnsiTheme="minorHAnsi" w:cstheme="minorHAnsi"/>
          <w:color w:val="000000"/>
        </w:rPr>
        <w:t>Mise le meas,</w:t>
      </w:r>
    </w:p>
    <w:p w:rsidR="00455349" w:rsidRDefault="00455349" w:rsidP="00346B74">
      <w:pPr>
        <w:contextualSpacing/>
        <w:jc w:val="both"/>
        <w:rPr>
          <w:rFonts w:asciiTheme="minorHAnsi" w:hAnsiTheme="minorHAnsi" w:cstheme="minorHAnsi"/>
        </w:rPr>
      </w:pPr>
    </w:p>
    <w:p w:rsidR="00455349" w:rsidRDefault="00455349" w:rsidP="00346B74">
      <w:pPr>
        <w:contextualSpacing/>
        <w:jc w:val="both"/>
        <w:rPr>
          <w:rFonts w:asciiTheme="minorHAnsi" w:hAnsiTheme="minorHAnsi" w:cstheme="minorHAnsi"/>
        </w:rPr>
      </w:pPr>
    </w:p>
    <w:p w:rsidR="00346B74" w:rsidRDefault="00346B74" w:rsidP="00346B74">
      <w:pPr>
        <w:contextualSpacing/>
        <w:jc w:val="both"/>
        <w:rPr>
          <w:rFonts w:asciiTheme="minorHAnsi" w:hAnsiTheme="minorHAnsi" w:cstheme="minorHAnsi"/>
        </w:rPr>
      </w:pPr>
      <w:r>
        <w:rPr>
          <w:rFonts w:asciiTheme="minorHAnsi" w:hAnsiTheme="minorHAnsi" w:cstheme="minorHAnsi"/>
        </w:rPr>
        <w:t>Oonagh Buckley</w:t>
      </w:r>
    </w:p>
    <w:p w:rsidR="00346B74" w:rsidRDefault="00346B74" w:rsidP="00346B74">
      <w:pPr>
        <w:contextualSpacing/>
        <w:jc w:val="both"/>
        <w:rPr>
          <w:rFonts w:asciiTheme="minorHAnsi" w:hAnsiTheme="minorHAnsi" w:cstheme="minorHAnsi"/>
        </w:rPr>
      </w:pPr>
      <w:r>
        <w:rPr>
          <w:rFonts w:asciiTheme="minorHAnsi" w:hAnsiTheme="minorHAnsi" w:cstheme="minorHAnsi"/>
        </w:rPr>
        <w:t>Assistant Secretary</w:t>
      </w:r>
    </w:p>
    <w:p w:rsidR="00687C0D" w:rsidRDefault="00687C0D">
      <w:pPr>
        <w:rPr>
          <w:rFonts w:asciiTheme="minorHAnsi" w:hAnsiTheme="minorHAnsi" w:cstheme="minorHAnsi"/>
          <w:b/>
          <w:color w:val="000000"/>
        </w:rPr>
      </w:pPr>
      <w:r>
        <w:rPr>
          <w:rFonts w:asciiTheme="minorHAnsi" w:hAnsiTheme="minorHAnsi" w:cstheme="minorHAnsi"/>
          <w:b/>
          <w:color w:val="000000"/>
        </w:rPr>
        <w:br w:type="page"/>
      </w:r>
    </w:p>
    <w:p w:rsidR="00F05176" w:rsidRPr="00687C0D" w:rsidRDefault="00F05176" w:rsidP="00687C0D">
      <w:pPr>
        <w:jc w:val="center"/>
        <w:rPr>
          <w:rFonts w:asciiTheme="minorHAnsi" w:hAnsiTheme="minorHAnsi" w:cstheme="minorHAnsi"/>
          <w:b/>
          <w:color w:val="000000"/>
          <w:szCs w:val="24"/>
          <w:lang w:eastAsia="en-IE"/>
        </w:rPr>
      </w:pPr>
      <w:r>
        <w:rPr>
          <w:rFonts w:asciiTheme="minorHAnsi" w:hAnsiTheme="minorHAnsi" w:cstheme="minorHAnsi"/>
          <w:b/>
          <w:color w:val="000000"/>
        </w:rPr>
        <w:lastRenderedPageBreak/>
        <w:t>APPENDIX A</w:t>
      </w:r>
    </w:p>
    <w:p w:rsidR="00F05176" w:rsidRDefault="00F05176" w:rsidP="00F05176">
      <w:pPr>
        <w:pStyle w:val="NormalWeb"/>
        <w:jc w:val="center"/>
        <w:rPr>
          <w:rFonts w:asciiTheme="minorHAnsi" w:hAnsiTheme="minorHAnsi" w:cstheme="minorHAnsi"/>
          <w:b/>
          <w:color w:val="000000"/>
        </w:rPr>
      </w:pPr>
    </w:p>
    <w:p w:rsidR="00F05176" w:rsidRPr="006E40F2" w:rsidRDefault="00F05176" w:rsidP="00F05176">
      <w:pPr>
        <w:pStyle w:val="NormalWeb"/>
        <w:jc w:val="center"/>
        <w:rPr>
          <w:rFonts w:asciiTheme="minorHAnsi" w:hAnsiTheme="minorHAnsi" w:cstheme="minorHAnsi"/>
          <w:b/>
          <w:color w:val="000000"/>
        </w:rPr>
      </w:pPr>
      <w:r w:rsidRPr="006E40F2">
        <w:rPr>
          <w:rFonts w:asciiTheme="minorHAnsi" w:hAnsiTheme="minorHAnsi" w:cstheme="minorHAnsi"/>
          <w:b/>
          <w:color w:val="000000"/>
        </w:rPr>
        <w:t>Aggregation of pensions for purpose</w:t>
      </w:r>
      <w:r>
        <w:rPr>
          <w:rFonts w:asciiTheme="minorHAnsi" w:hAnsiTheme="minorHAnsi" w:cstheme="minorHAnsi"/>
          <w:b/>
          <w:color w:val="000000"/>
        </w:rPr>
        <w:t>s</w:t>
      </w:r>
      <w:r w:rsidRPr="006E40F2">
        <w:rPr>
          <w:rFonts w:asciiTheme="minorHAnsi" w:hAnsiTheme="minorHAnsi" w:cstheme="minorHAnsi"/>
          <w:b/>
          <w:color w:val="000000"/>
        </w:rPr>
        <w:t xml:space="preserve"> of the Public Service Pension Reduction (PSPR)</w:t>
      </w:r>
    </w:p>
    <w:p w:rsidR="00F05176" w:rsidRDefault="00F05176" w:rsidP="00F05176">
      <w:pPr>
        <w:pStyle w:val="NormalWeb"/>
        <w:jc w:val="both"/>
        <w:rPr>
          <w:rFonts w:asciiTheme="minorHAnsi" w:hAnsiTheme="minorHAnsi" w:cstheme="minorHAnsi"/>
          <w:color w:val="000000"/>
        </w:rPr>
      </w:pPr>
    </w:p>
    <w:p w:rsidR="00BD5085" w:rsidRDefault="003C5973" w:rsidP="00192D5B">
      <w:pPr>
        <w:pStyle w:val="NormalWeb"/>
        <w:jc w:val="both"/>
        <w:rPr>
          <w:rFonts w:asciiTheme="minorHAnsi" w:hAnsiTheme="minorHAnsi" w:cstheme="minorHAnsi"/>
          <w:color w:val="000000"/>
        </w:rPr>
      </w:pPr>
      <w:r>
        <w:rPr>
          <w:rFonts w:asciiTheme="minorHAnsi" w:hAnsiTheme="minorHAnsi" w:cstheme="minorHAnsi"/>
          <w:color w:val="000000"/>
        </w:rPr>
        <w:t>1.  The Public Service Pension Reduction (</w:t>
      </w:r>
      <w:r w:rsidRPr="003C5973">
        <w:rPr>
          <w:rFonts w:asciiTheme="minorHAnsi" w:hAnsiTheme="minorHAnsi" w:cstheme="minorHAnsi"/>
          <w:color w:val="000000"/>
        </w:rPr>
        <w:t>PSPR</w:t>
      </w:r>
      <w:r>
        <w:rPr>
          <w:rFonts w:asciiTheme="minorHAnsi" w:hAnsiTheme="minorHAnsi" w:cstheme="minorHAnsi"/>
          <w:color w:val="000000"/>
        </w:rPr>
        <w:t>)</w:t>
      </w:r>
      <w:r w:rsidRPr="003C5973">
        <w:rPr>
          <w:rFonts w:asciiTheme="minorHAnsi" w:hAnsiTheme="minorHAnsi" w:cstheme="minorHAnsi"/>
          <w:color w:val="000000"/>
        </w:rPr>
        <w:t xml:space="preserve"> </w:t>
      </w:r>
      <w:r w:rsidR="00740D9F">
        <w:rPr>
          <w:rFonts w:asciiTheme="minorHAnsi" w:hAnsiTheme="minorHAnsi" w:cstheme="minorHAnsi"/>
          <w:color w:val="000000"/>
        </w:rPr>
        <w:t>became law</w:t>
      </w:r>
      <w:r w:rsidRPr="003C5973">
        <w:rPr>
          <w:rFonts w:asciiTheme="minorHAnsi" w:hAnsiTheme="minorHAnsi" w:cstheme="minorHAnsi"/>
          <w:color w:val="000000"/>
        </w:rPr>
        <w:t xml:space="preserve"> </w:t>
      </w:r>
      <w:r w:rsidR="00F438B7">
        <w:rPr>
          <w:rFonts w:asciiTheme="minorHAnsi" w:hAnsiTheme="minorHAnsi" w:cstheme="minorHAnsi"/>
          <w:color w:val="000000"/>
        </w:rPr>
        <w:t xml:space="preserve">under the </w:t>
      </w:r>
      <w:r w:rsidR="00F438B7">
        <w:rPr>
          <w:rFonts w:asciiTheme="minorHAnsi" w:hAnsiTheme="minorHAnsi" w:cstheme="minorHAnsi"/>
        </w:rPr>
        <w:t>Financial Emergency Measures in the Public Interest Act 2010 (“FEMPI 2010</w:t>
      </w:r>
      <w:r w:rsidR="00A8624E">
        <w:rPr>
          <w:rFonts w:asciiTheme="minorHAnsi" w:hAnsiTheme="minorHAnsi" w:cstheme="minorHAnsi"/>
        </w:rPr>
        <w:t>”</w:t>
      </w:r>
      <w:r w:rsidR="00F438B7">
        <w:rPr>
          <w:rFonts w:asciiTheme="minorHAnsi" w:hAnsiTheme="minorHAnsi" w:cstheme="minorHAnsi"/>
        </w:rPr>
        <w:t>)</w:t>
      </w:r>
      <w:r w:rsidR="00A8624E">
        <w:rPr>
          <w:rFonts w:asciiTheme="minorHAnsi" w:hAnsiTheme="minorHAnsi" w:cstheme="minorHAnsi"/>
        </w:rPr>
        <w:t xml:space="preserve"> </w:t>
      </w:r>
      <w:r w:rsidRPr="003C5973">
        <w:rPr>
          <w:rFonts w:asciiTheme="minorHAnsi" w:hAnsiTheme="minorHAnsi" w:cstheme="minorHAnsi"/>
          <w:color w:val="000000"/>
        </w:rPr>
        <w:t xml:space="preserve">as </w:t>
      </w:r>
      <w:r w:rsidRPr="00647A27">
        <w:rPr>
          <w:rFonts w:asciiTheme="minorHAnsi" w:hAnsiTheme="minorHAnsi" w:cstheme="minorHAnsi"/>
          <w:color w:val="000000"/>
        </w:rPr>
        <w:t>an imposition on</w:t>
      </w:r>
      <w:r w:rsidRPr="003C5973">
        <w:rPr>
          <w:rFonts w:asciiTheme="minorHAnsi" w:hAnsiTheme="minorHAnsi" w:cstheme="minorHAnsi"/>
          <w:b/>
          <w:color w:val="000000"/>
        </w:rPr>
        <w:t xml:space="preserve"> individual public service pensions</w:t>
      </w:r>
      <w:r w:rsidRPr="003C5973">
        <w:rPr>
          <w:rFonts w:asciiTheme="minorHAnsi" w:hAnsiTheme="minorHAnsi" w:cstheme="minorHAnsi"/>
          <w:color w:val="000000"/>
        </w:rPr>
        <w:t>. Subsequent amendments to that Act in 2012 and 2013 p</w:t>
      </w:r>
      <w:r w:rsidR="00BD5085">
        <w:rPr>
          <w:rFonts w:asciiTheme="minorHAnsi" w:hAnsiTheme="minorHAnsi" w:cstheme="minorHAnsi"/>
          <w:color w:val="000000"/>
        </w:rPr>
        <w:t xml:space="preserve">ut in place a basis for </w:t>
      </w:r>
      <w:r w:rsidRPr="003C5973">
        <w:rPr>
          <w:rFonts w:asciiTheme="minorHAnsi" w:hAnsiTheme="minorHAnsi" w:cstheme="minorHAnsi"/>
          <w:color w:val="000000"/>
        </w:rPr>
        <w:t xml:space="preserve">applying PSPR to the </w:t>
      </w:r>
      <w:r w:rsidRPr="00647A27">
        <w:rPr>
          <w:rFonts w:asciiTheme="minorHAnsi" w:hAnsiTheme="minorHAnsi" w:cstheme="minorHAnsi"/>
          <w:b/>
          <w:color w:val="000000"/>
        </w:rPr>
        <w:t>combined or aggregate value of all such pensions held by a pensioner</w:t>
      </w:r>
      <w:r>
        <w:rPr>
          <w:rFonts w:asciiTheme="minorHAnsi" w:hAnsiTheme="minorHAnsi" w:cstheme="minorHAnsi"/>
          <w:color w:val="000000"/>
        </w:rPr>
        <w:t>, subject to certain conditions</w:t>
      </w:r>
      <w:r w:rsidR="00BD5085">
        <w:rPr>
          <w:rFonts w:asciiTheme="minorHAnsi" w:hAnsiTheme="minorHAnsi" w:cstheme="minorHAnsi"/>
          <w:color w:val="000000"/>
        </w:rPr>
        <w:t xml:space="preserve">. </w:t>
      </w:r>
      <w:r w:rsidR="00BD5085" w:rsidRPr="003C5973">
        <w:rPr>
          <w:rFonts w:asciiTheme="minorHAnsi" w:hAnsiTheme="minorHAnsi" w:cstheme="minorHAnsi"/>
          <w:color w:val="000000"/>
        </w:rPr>
        <w:t xml:space="preserve">The commencement date for </w:t>
      </w:r>
      <w:r w:rsidR="00BD5085">
        <w:rPr>
          <w:rFonts w:asciiTheme="minorHAnsi" w:hAnsiTheme="minorHAnsi" w:cstheme="minorHAnsi"/>
          <w:color w:val="000000"/>
        </w:rPr>
        <w:t>this “</w:t>
      </w:r>
      <w:r w:rsidR="00BD5085" w:rsidRPr="003C5973">
        <w:rPr>
          <w:rFonts w:asciiTheme="minorHAnsi" w:hAnsiTheme="minorHAnsi" w:cstheme="minorHAnsi"/>
          <w:color w:val="000000"/>
        </w:rPr>
        <w:t>PSPR aggregation</w:t>
      </w:r>
      <w:r w:rsidR="00BD5085">
        <w:rPr>
          <w:rFonts w:asciiTheme="minorHAnsi" w:hAnsiTheme="minorHAnsi" w:cstheme="minorHAnsi"/>
          <w:color w:val="000000"/>
        </w:rPr>
        <w:t>”,</w:t>
      </w:r>
      <w:r w:rsidR="00BD5085" w:rsidRPr="003C5973">
        <w:rPr>
          <w:rFonts w:asciiTheme="minorHAnsi" w:hAnsiTheme="minorHAnsi" w:cstheme="minorHAnsi"/>
          <w:color w:val="000000"/>
        </w:rPr>
        <w:t xml:space="preserve"> 1 September 2013</w:t>
      </w:r>
      <w:r w:rsidR="00BD5085">
        <w:rPr>
          <w:rFonts w:asciiTheme="minorHAnsi" w:hAnsiTheme="minorHAnsi" w:cstheme="minorHAnsi"/>
          <w:color w:val="000000"/>
        </w:rPr>
        <w:t>,</w:t>
      </w:r>
      <w:r w:rsidR="00BD5085" w:rsidRPr="003C5973">
        <w:rPr>
          <w:rFonts w:asciiTheme="minorHAnsi" w:hAnsiTheme="minorHAnsi" w:cstheme="minorHAnsi"/>
          <w:color w:val="000000"/>
        </w:rPr>
        <w:t xml:space="preserve"> </w:t>
      </w:r>
      <w:r w:rsidR="00BD5085">
        <w:rPr>
          <w:rFonts w:asciiTheme="minorHAnsi" w:hAnsiTheme="minorHAnsi" w:cstheme="minorHAnsi"/>
          <w:color w:val="000000"/>
        </w:rPr>
        <w:t xml:space="preserve">was set </w:t>
      </w:r>
      <w:r w:rsidR="00BD5085" w:rsidRPr="003C5973">
        <w:rPr>
          <w:rFonts w:asciiTheme="minorHAnsi" w:hAnsiTheme="minorHAnsi" w:cstheme="minorHAnsi"/>
          <w:color w:val="000000"/>
        </w:rPr>
        <w:t>by the Minister for Public Expenditure and Reform</w:t>
      </w:r>
      <w:r w:rsidR="00BD5085">
        <w:rPr>
          <w:rFonts w:asciiTheme="minorHAnsi" w:hAnsiTheme="minorHAnsi" w:cstheme="minorHAnsi"/>
          <w:color w:val="000000"/>
        </w:rPr>
        <w:t>.</w:t>
      </w:r>
    </w:p>
    <w:p w:rsidR="00BD5085" w:rsidRDefault="00BD5085" w:rsidP="00192D5B">
      <w:pPr>
        <w:pStyle w:val="NormalWeb"/>
        <w:jc w:val="both"/>
        <w:rPr>
          <w:rFonts w:asciiTheme="minorHAnsi" w:hAnsiTheme="minorHAnsi" w:cstheme="minorHAnsi"/>
          <w:color w:val="000000"/>
        </w:rPr>
      </w:pPr>
    </w:p>
    <w:p w:rsidR="00BD5085" w:rsidRDefault="00BD5085" w:rsidP="00647A27">
      <w:pPr>
        <w:pStyle w:val="NormalWeb"/>
        <w:jc w:val="both"/>
        <w:rPr>
          <w:rFonts w:asciiTheme="minorHAnsi" w:hAnsiTheme="minorHAnsi" w:cstheme="minorHAnsi"/>
          <w:color w:val="000000"/>
        </w:rPr>
      </w:pPr>
      <w:r>
        <w:rPr>
          <w:rFonts w:asciiTheme="minorHAnsi" w:hAnsiTheme="minorHAnsi" w:cstheme="minorHAnsi"/>
          <w:color w:val="000000"/>
        </w:rPr>
        <w:t xml:space="preserve">2.  </w:t>
      </w:r>
      <w:r w:rsidR="004C7192">
        <w:rPr>
          <w:rFonts w:asciiTheme="minorHAnsi" w:hAnsiTheme="minorHAnsi" w:cstheme="minorHAnsi"/>
          <w:color w:val="000000"/>
        </w:rPr>
        <w:t xml:space="preserve">The </w:t>
      </w:r>
      <w:r w:rsidR="004C7192">
        <w:rPr>
          <w:rFonts w:asciiTheme="minorHAnsi" w:hAnsiTheme="minorHAnsi" w:cstheme="minorHAnsi"/>
        </w:rPr>
        <w:t>Financial Emergency Measures in the Public Interest Act 2015 (“</w:t>
      </w:r>
      <w:r>
        <w:rPr>
          <w:rFonts w:asciiTheme="minorHAnsi" w:hAnsiTheme="minorHAnsi" w:cstheme="minorHAnsi"/>
          <w:color w:val="000000"/>
        </w:rPr>
        <w:t>FEMPI 2015</w:t>
      </w:r>
      <w:r w:rsidR="004C7192">
        <w:rPr>
          <w:rFonts w:asciiTheme="minorHAnsi" w:hAnsiTheme="minorHAnsi" w:cstheme="minorHAnsi"/>
          <w:color w:val="000000"/>
        </w:rPr>
        <w:t>”)</w:t>
      </w:r>
      <w:r>
        <w:rPr>
          <w:rFonts w:asciiTheme="minorHAnsi" w:hAnsiTheme="minorHAnsi" w:cstheme="minorHAnsi"/>
          <w:color w:val="000000"/>
        </w:rPr>
        <w:t xml:space="preserve"> does not change the rules </w:t>
      </w:r>
      <w:r w:rsidR="00647A27">
        <w:rPr>
          <w:rFonts w:asciiTheme="minorHAnsi" w:hAnsiTheme="minorHAnsi" w:cstheme="minorHAnsi"/>
          <w:color w:val="000000"/>
        </w:rPr>
        <w:t>concerning</w:t>
      </w:r>
      <w:r w:rsidR="00740D9F">
        <w:rPr>
          <w:rFonts w:asciiTheme="minorHAnsi" w:hAnsiTheme="minorHAnsi" w:cstheme="minorHAnsi"/>
          <w:color w:val="000000"/>
        </w:rPr>
        <w:t xml:space="preserve"> </w:t>
      </w:r>
      <w:r w:rsidR="00647A27">
        <w:rPr>
          <w:rFonts w:asciiTheme="minorHAnsi" w:hAnsiTheme="minorHAnsi" w:cstheme="minorHAnsi"/>
          <w:color w:val="000000"/>
        </w:rPr>
        <w:t xml:space="preserve">pension </w:t>
      </w:r>
      <w:r>
        <w:rPr>
          <w:rFonts w:asciiTheme="minorHAnsi" w:hAnsiTheme="minorHAnsi" w:cstheme="minorHAnsi"/>
          <w:color w:val="000000"/>
        </w:rPr>
        <w:t xml:space="preserve">aggregation </w:t>
      </w:r>
      <w:r w:rsidR="00647A27">
        <w:rPr>
          <w:rFonts w:asciiTheme="minorHAnsi" w:hAnsiTheme="minorHAnsi" w:cstheme="minorHAnsi"/>
          <w:color w:val="000000"/>
        </w:rPr>
        <w:t xml:space="preserve">for PSPR purposes. </w:t>
      </w:r>
      <w:r w:rsidR="004C7192">
        <w:rPr>
          <w:rFonts w:asciiTheme="minorHAnsi" w:hAnsiTheme="minorHAnsi" w:cstheme="minorHAnsi"/>
          <w:color w:val="000000"/>
        </w:rPr>
        <w:t>By way of setting out these rules, note that w</w:t>
      </w:r>
      <w:r>
        <w:rPr>
          <w:rFonts w:asciiTheme="minorHAnsi" w:hAnsiTheme="minorHAnsi" w:cstheme="minorHAnsi"/>
          <w:color w:val="000000"/>
        </w:rPr>
        <w:t xml:space="preserve">here a person has two public </w:t>
      </w:r>
      <w:r w:rsidR="00647A27">
        <w:rPr>
          <w:rFonts w:asciiTheme="minorHAnsi" w:hAnsiTheme="minorHAnsi" w:cstheme="minorHAnsi"/>
          <w:color w:val="000000"/>
        </w:rPr>
        <w:t xml:space="preserve">service pensions, those pensions </w:t>
      </w:r>
      <w:r>
        <w:rPr>
          <w:rFonts w:asciiTheme="minorHAnsi" w:hAnsiTheme="minorHAnsi" w:cstheme="minorHAnsi"/>
          <w:color w:val="000000"/>
        </w:rPr>
        <w:t xml:space="preserve">are added together for purposes of the imposition of PSPR </w:t>
      </w:r>
      <w:r w:rsidRPr="00647A27">
        <w:rPr>
          <w:rFonts w:asciiTheme="minorHAnsi" w:hAnsiTheme="minorHAnsi" w:cstheme="minorHAnsi"/>
          <w:b/>
          <w:color w:val="000000"/>
        </w:rPr>
        <w:t xml:space="preserve">only </w:t>
      </w:r>
      <w:r w:rsidR="00C578D0">
        <w:rPr>
          <w:rFonts w:asciiTheme="minorHAnsi" w:hAnsiTheme="minorHAnsi" w:cstheme="minorHAnsi"/>
          <w:b/>
          <w:color w:val="000000"/>
        </w:rPr>
        <w:t xml:space="preserve">when </w:t>
      </w:r>
      <w:r w:rsidR="0012234A">
        <w:rPr>
          <w:rFonts w:asciiTheme="minorHAnsi" w:hAnsiTheme="minorHAnsi" w:cstheme="minorHAnsi"/>
          <w:b/>
          <w:color w:val="000000"/>
        </w:rPr>
        <w:t xml:space="preserve">both of the </w:t>
      </w:r>
      <w:r w:rsidRPr="00647A27">
        <w:rPr>
          <w:rFonts w:asciiTheme="minorHAnsi" w:hAnsiTheme="minorHAnsi" w:cstheme="minorHAnsi"/>
          <w:b/>
          <w:color w:val="000000"/>
        </w:rPr>
        <w:t>following conditions are met:</w:t>
      </w:r>
    </w:p>
    <w:p w:rsidR="00BD5085" w:rsidRDefault="00BD5085" w:rsidP="00192D5B">
      <w:pPr>
        <w:pStyle w:val="NormalWeb"/>
        <w:jc w:val="both"/>
        <w:rPr>
          <w:rFonts w:asciiTheme="minorHAnsi" w:hAnsiTheme="minorHAnsi" w:cstheme="minorHAnsi"/>
          <w:color w:val="000000"/>
        </w:rPr>
      </w:pPr>
    </w:p>
    <w:p w:rsidR="00BD5085" w:rsidRDefault="00BD5085" w:rsidP="00447D17">
      <w:pPr>
        <w:pStyle w:val="NormalWeb"/>
        <w:numPr>
          <w:ilvl w:val="0"/>
          <w:numId w:val="5"/>
        </w:numPr>
        <w:jc w:val="both"/>
        <w:rPr>
          <w:rFonts w:asciiTheme="minorHAnsi" w:hAnsiTheme="minorHAnsi" w:cstheme="minorHAnsi"/>
          <w:color w:val="000000"/>
        </w:rPr>
      </w:pPr>
      <w:r>
        <w:rPr>
          <w:rFonts w:asciiTheme="minorHAnsi" w:hAnsiTheme="minorHAnsi" w:cstheme="minorHAnsi"/>
          <w:color w:val="000000"/>
        </w:rPr>
        <w:t>The combined pre-PSPR value of the pensions must exceed €32,500</w:t>
      </w:r>
      <w:r w:rsidR="00A95941">
        <w:rPr>
          <w:rFonts w:asciiTheme="minorHAnsi" w:hAnsiTheme="minorHAnsi" w:cstheme="minorHAnsi"/>
          <w:color w:val="000000"/>
        </w:rPr>
        <w:t>.</w:t>
      </w:r>
    </w:p>
    <w:p w:rsidR="00BD5085" w:rsidRDefault="00BD5085" w:rsidP="00192D5B">
      <w:pPr>
        <w:pStyle w:val="NormalWeb"/>
        <w:jc w:val="both"/>
        <w:rPr>
          <w:rFonts w:asciiTheme="minorHAnsi" w:hAnsiTheme="minorHAnsi" w:cstheme="minorHAnsi"/>
          <w:color w:val="000000"/>
        </w:rPr>
      </w:pPr>
    </w:p>
    <w:p w:rsidR="00BD5085" w:rsidRDefault="00BD5085" w:rsidP="00447D17">
      <w:pPr>
        <w:pStyle w:val="NormalWeb"/>
        <w:numPr>
          <w:ilvl w:val="0"/>
          <w:numId w:val="5"/>
        </w:numPr>
        <w:jc w:val="both"/>
        <w:rPr>
          <w:rFonts w:asciiTheme="minorHAnsi" w:hAnsiTheme="minorHAnsi" w:cstheme="minorHAnsi"/>
          <w:color w:val="000000"/>
        </w:rPr>
      </w:pPr>
      <w:r>
        <w:rPr>
          <w:rFonts w:asciiTheme="minorHAnsi" w:hAnsiTheme="minorHAnsi" w:cstheme="minorHAnsi"/>
          <w:color w:val="000000"/>
        </w:rPr>
        <w:t>The pensions must have a common origin as follows</w:t>
      </w:r>
      <w:r w:rsidR="006F32D3">
        <w:rPr>
          <w:rFonts w:asciiTheme="minorHAnsi" w:hAnsiTheme="minorHAnsi" w:cstheme="minorHAnsi"/>
          <w:color w:val="000000"/>
        </w:rPr>
        <w:t>;</w:t>
      </w:r>
    </w:p>
    <w:p w:rsidR="00AC228D" w:rsidRDefault="00AC228D" w:rsidP="00AC228D">
      <w:pPr>
        <w:pStyle w:val="NormalWeb"/>
        <w:ind w:left="720"/>
        <w:jc w:val="both"/>
        <w:rPr>
          <w:rFonts w:asciiTheme="minorHAnsi" w:hAnsiTheme="minorHAnsi" w:cstheme="minorHAnsi"/>
          <w:color w:val="000000"/>
        </w:rPr>
      </w:pPr>
    </w:p>
    <w:p w:rsidR="00462961" w:rsidRDefault="006F32D3" w:rsidP="00AC228D">
      <w:pPr>
        <w:pStyle w:val="NormalWeb"/>
        <w:numPr>
          <w:ilvl w:val="0"/>
          <w:numId w:val="19"/>
        </w:numPr>
        <w:ind w:left="1080"/>
        <w:jc w:val="both"/>
        <w:rPr>
          <w:rFonts w:asciiTheme="minorHAnsi" w:hAnsiTheme="minorHAnsi" w:cstheme="minorHAnsi"/>
          <w:color w:val="000000"/>
        </w:rPr>
      </w:pPr>
      <w:r>
        <w:rPr>
          <w:rFonts w:asciiTheme="minorHAnsi" w:hAnsiTheme="minorHAnsi" w:cstheme="minorHAnsi"/>
          <w:color w:val="000000"/>
        </w:rPr>
        <w:t>e</w:t>
      </w:r>
      <w:r w:rsidR="00BD5085">
        <w:rPr>
          <w:rFonts w:asciiTheme="minorHAnsi" w:hAnsiTheme="minorHAnsi" w:cstheme="minorHAnsi"/>
          <w:color w:val="000000"/>
        </w:rPr>
        <w:t xml:space="preserve">ach pension must be in respect of a retirement </w:t>
      </w:r>
      <w:r>
        <w:rPr>
          <w:rFonts w:asciiTheme="minorHAnsi" w:hAnsiTheme="minorHAnsi" w:cstheme="minorHAnsi"/>
          <w:color w:val="000000"/>
        </w:rPr>
        <w:t xml:space="preserve">(or death of member) </w:t>
      </w:r>
      <w:r w:rsidR="00BD5085">
        <w:rPr>
          <w:rFonts w:asciiTheme="minorHAnsi" w:hAnsiTheme="minorHAnsi" w:cstheme="minorHAnsi"/>
          <w:color w:val="000000"/>
        </w:rPr>
        <w:t>before 1 March 2012,</w:t>
      </w:r>
    </w:p>
    <w:p w:rsidR="006F32D3" w:rsidRPr="00462961" w:rsidRDefault="00462961" w:rsidP="00AC228D">
      <w:pPr>
        <w:pStyle w:val="NormalWeb"/>
        <w:ind w:left="1080"/>
        <w:jc w:val="both"/>
        <w:rPr>
          <w:rFonts w:asciiTheme="minorHAnsi" w:hAnsiTheme="minorHAnsi" w:cstheme="minorHAnsi"/>
          <w:b/>
          <w:color w:val="000000"/>
        </w:rPr>
      </w:pPr>
      <w:r w:rsidRPr="00462961">
        <w:rPr>
          <w:rFonts w:asciiTheme="minorHAnsi" w:hAnsiTheme="minorHAnsi" w:cstheme="minorHAnsi"/>
          <w:b/>
          <w:color w:val="000000"/>
        </w:rPr>
        <w:t>or</w:t>
      </w:r>
      <w:r w:rsidR="00BD5085" w:rsidRPr="00462961">
        <w:rPr>
          <w:rFonts w:asciiTheme="minorHAnsi" w:hAnsiTheme="minorHAnsi" w:cstheme="minorHAnsi"/>
          <w:b/>
          <w:color w:val="000000"/>
        </w:rPr>
        <w:t xml:space="preserve"> </w:t>
      </w:r>
    </w:p>
    <w:p w:rsidR="00BD5085" w:rsidRDefault="006F32D3" w:rsidP="00AC228D">
      <w:pPr>
        <w:pStyle w:val="NormalWeb"/>
        <w:numPr>
          <w:ilvl w:val="0"/>
          <w:numId w:val="19"/>
        </w:numPr>
        <w:ind w:left="1080"/>
        <w:jc w:val="both"/>
        <w:rPr>
          <w:rFonts w:asciiTheme="minorHAnsi" w:hAnsiTheme="minorHAnsi" w:cstheme="minorHAnsi"/>
          <w:color w:val="000000"/>
        </w:rPr>
      </w:pPr>
      <w:r>
        <w:rPr>
          <w:rFonts w:asciiTheme="minorHAnsi" w:hAnsiTheme="minorHAnsi" w:cstheme="minorHAnsi"/>
          <w:color w:val="000000"/>
        </w:rPr>
        <w:t>e</w:t>
      </w:r>
      <w:r w:rsidR="00BD5085">
        <w:rPr>
          <w:rFonts w:asciiTheme="minorHAnsi" w:hAnsiTheme="minorHAnsi" w:cstheme="minorHAnsi"/>
          <w:color w:val="000000"/>
        </w:rPr>
        <w:t xml:space="preserve">ach pension must be in respect of a retirement </w:t>
      </w:r>
      <w:r>
        <w:rPr>
          <w:rFonts w:asciiTheme="minorHAnsi" w:hAnsiTheme="minorHAnsi" w:cstheme="minorHAnsi"/>
          <w:color w:val="000000"/>
        </w:rPr>
        <w:t xml:space="preserve">(or death of member) </w:t>
      </w:r>
      <w:r w:rsidR="00BD5085">
        <w:rPr>
          <w:rFonts w:asciiTheme="minorHAnsi" w:hAnsiTheme="minorHAnsi" w:cstheme="minorHAnsi"/>
          <w:color w:val="000000"/>
        </w:rPr>
        <w:t>on or after 1 March 2012</w:t>
      </w:r>
      <w:r>
        <w:rPr>
          <w:rFonts w:asciiTheme="minorHAnsi" w:hAnsiTheme="minorHAnsi" w:cstheme="minorHAnsi"/>
          <w:color w:val="000000"/>
        </w:rPr>
        <w:t>.</w:t>
      </w:r>
    </w:p>
    <w:p w:rsidR="00BD5085" w:rsidRDefault="00BD5085" w:rsidP="00192D5B">
      <w:pPr>
        <w:pStyle w:val="NormalWeb"/>
        <w:jc w:val="both"/>
        <w:rPr>
          <w:rFonts w:asciiTheme="minorHAnsi" w:hAnsiTheme="minorHAnsi" w:cstheme="minorHAnsi"/>
          <w:color w:val="000000"/>
        </w:rPr>
      </w:pPr>
    </w:p>
    <w:p w:rsidR="00647A27" w:rsidRDefault="00A95941" w:rsidP="0012234A">
      <w:pPr>
        <w:pStyle w:val="NormalWeb"/>
        <w:jc w:val="both"/>
        <w:rPr>
          <w:rFonts w:asciiTheme="minorHAnsi" w:hAnsiTheme="minorHAnsi" w:cstheme="minorHAnsi"/>
          <w:color w:val="000000"/>
        </w:rPr>
      </w:pPr>
      <w:r>
        <w:rPr>
          <w:rFonts w:asciiTheme="minorHAnsi" w:hAnsiTheme="minorHAnsi" w:cstheme="minorHAnsi"/>
          <w:color w:val="000000"/>
        </w:rPr>
        <w:t>For clarity</w:t>
      </w:r>
      <w:r w:rsidR="00AC228D">
        <w:rPr>
          <w:rFonts w:asciiTheme="minorHAnsi" w:hAnsiTheme="minorHAnsi" w:cstheme="minorHAnsi"/>
          <w:color w:val="000000"/>
        </w:rPr>
        <w:t>,</w:t>
      </w:r>
      <w:r>
        <w:rPr>
          <w:rFonts w:asciiTheme="minorHAnsi" w:hAnsiTheme="minorHAnsi" w:cstheme="minorHAnsi"/>
          <w:color w:val="000000"/>
        </w:rPr>
        <w:t xml:space="preserve"> condition (</w:t>
      </w:r>
      <w:r w:rsidR="00647A27">
        <w:rPr>
          <w:rFonts w:asciiTheme="minorHAnsi" w:hAnsiTheme="minorHAnsi" w:cstheme="minorHAnsi"/>
          <w:color w:val="000000"/>
        </w:rPr>
        <w:t>ii</w:t>
      </w:r>
      <w:r>
        <w:rPr>
          <w:rFonts w:asciiTheme="minorHAnsi" w:hAnsiTheme="minorHAnsi" w:cstheme="minorHAnsi"/>
          <w:color w:val="000000"/>
        </w:rPr>
        <w:t xml:space="preserve">) </w:t>
      </w:r>
      <w:r w:rsidR="006F32D3">
        <w:rPr>
          <w:rFonts w:asciiTheme="minorHAnsi" w:hAnsiTheme="minorHAnsi" w:cstheme="minorHAnsi"/>
          <w:color w:val="000000"/>
        </w:rPr>
        <w:t xml:space="preserve">above </w:t>
      </w:r>
      <w:r>
        <w:rPr>
          <w:rFonts w:asciiTheme="minorHAnsi" w:hAnsiTheme="minorHAnsi" w:cstheme="minorHAnsi"/>
          <w:color w:val="000000"/>
        </w:rPr>
        <w:t xml:space="preserve">means that if one of the two pensions is in </w:t>
      </w:r>
      <w:r w:rsidR="00647A27">
        <w:rPr>
          <w:rFonts w:asciiTheme="minorHAnsi" w:hAnsiTheme="minorHAnsi" w:cstheme="minorHAnsi"/>
          <w:color w:val="000000"/>
        </w:rPr>
        <w:t>category “</w:t>
      </w:r>
      <w:r w:rsidR="006F32D3">
        <w:rPr>
          <w:rFonts w:asciiTheme="minorHAnsi" w:hAnsiTheme="minorHAnsi" w:cstheme="minorHAnsi"/>
          <w:color w:val="000000"/>
        </w:rPr>
        <w:t>(a)</w:t>
      </w:r>
      <w:r w:rsidR="00647A27">
        <w:rPr>
          <w:rFonts w:asciiTheme="minorHAnsi" w:hAnsiTheme="minorHAnsi" w:cstheme="minorHAnsi"/>
          <w:color w:val="000000"/>
        </w:rPr>
        <w:t>”</w:t>
      </w:r>
      <w:r>
        <w:rPr>
          <w:rFonts w:asciiTheme="minorHAnsi" w:hAnsiTheme="minorHAnsi" w:cstheme="minorHAnsi"/>
          <w:color w:val="000000"/>
        </w:rPr>
        <w:t xml:space="preserve"> and the other is in the category </w:t>
      </w:r>
      <w:r w:rsidR="00647A27">
        <w:rPr>
          <w:rFonts w:asciiTheme="minorHAnsi" w:hAnsiTheme="minorHAnsi" w:cstheme="minorHAnsi"/>
          <w:color w:val="000000"/>
        </w:rPr>
        <w:t>“</w:t>
      </w:r>
      <w:r w:rsidR="006F32D3">
        <w:rPr>
          <w:rFonts w:asciiTheme="minorHAnsi" w:hAnsiTheme="minorHAnsi" w:cstheme="minorHAnsi"/>
          <w:color w:val="000000"/>
        </w:rPr>
        <w:t>(b)</w:t>
      </w:r>
      <w:r w:rsidR="004C7192">
        <w:rPr>
          <w:rFonts w:asciiTheme="minorHAnsi" w:hAnsiTheme="minorHAnsi" w:cstheme="minorHAnsi"/>
          <w:color w:val="000000"/>
        </w:rPr>
        <w:t>” then they must not be aggregated for PSPR purposes.</w:t>
      </w:r>
    </w:p>
    <w:p w:rsidR="00647A27" w:rsidRDefault="00647A27" w:rsidP="00192D5B">
      <w:pPr>
        <w:pStyle w:val="NormalWeb"/>
        <w:jc w:val="both"/>
        <w:rPr>
          <w:rFonts w:asciiTheme="minorHAnsi" w:hAnsiTheme="minorHAnsi" w:cstheme="minorHAnsi"/>
          <w:color w:val="000000"/>
        </w:rPr>
      </w:pPr>
    </w:p>
    <w:p w:rsidR="00647A27" w:rsidRDefault="00647A27" w:rsidP="00192D5B">
      <w:pPr>
        <w:pStyle w:val="NormalWeb"/>
        <w:jc w:val="both"/>
        <w:rPr>
          <w:rFonts w:asciiTheme="minorHAnsi" w:hAnsiTheme="minorHAnsi" w:cstheme="minorHAnsi"/>
          <w:color w:val="000000"/>
        </w:rPr>
      </w:pPr>
      <w:r>
        <w:rPr>
          <w:rFonts w:asciiTheme="minorHAnsi" w:hAnsiTheme="minorHAnsi" w:cstheme="minorHAnsi"/>
          <w:color w:val="000000"/>
        </w:rPr>
        <w:t xml:space="preserve">3. In the rare </w:t>
      </w:r>
      <w:r w:rsidR="00AC228D">
        <w:rPr>
          <w:rFonts w:asciiTheme="minorHAnsi" w:hAnsiTheme="minorHAnsi" w:cstheme="minorHAnsi"/>
          <w:color w:val="000000"/>
        </w:rPr>
        <w:t xml:space="preserve">event of </w:t>
      </w:r>
      <w:r>
        <w:rPr>
          <w:rFonts w:asciiTheme="minorHAnsi" w:hAnsiTheme="minorHAnsi" w:cstheme="minorHAnsi"/>
          <w:color w:val="000000"/>
        </w:rPr>
        <w:t>a person ha</w:t>
      </w:r>
      <w:r w:rsidR="00AC228D">
        <w:rPr>
          <w:rFonts w:asciiTheme="minorHAnsi" w:hAnsiTheme="minorHAnsi" w:cstheme="minorHAnsi"/>
          <w:color w:val="000000"/>
        </w:rPr>
        <w:t>ving</w:t>
      </w:r>
      <w:r>
        <w:rPr>
          <w:rFonts w:asciiTheme="minorHAnsi" w:hAnsiTheme="minorHAnsi" w:cstheme="minorHAnsi"/>
          <w:color w:val="000000"/>
        </w:rPr>
        <w:t xml:space="preserve"> </w:t>
      </w:r>
      <w:r w:rsidR="006F32D3">
        <w:rPr>
          <w:rFonts w:asciiTheme="minorHAnsi" w:hAnsiTheme="minorHAnsi" w:cstheme="minorHAnsi"/>
          <w:color w:val="000000"/>
        </w:rPr>
        <w:t>three</w:t>
      </w:r>
      <w:r>
        <w:rPr>
          <w:rFonts w:asciiTheme="minorHAnsi" w:hAnsiTheme="minorHAnsi" w:cstheme="minorHAnsi"/>
          <w:color w:val="000000"/>
        </w:rPr>
        <w:t xml:space="preserve"> (or more) public service pensions then the rules set out at paragraph 2 </w:t>
      </w:r>
      <w:r w:rsidR="006F32D3">
        <w:rPr>
          <w:rFonts w:asciiTheme="minorHAnsi" w:hAnsiTheme="minorHAnsi" w:cstheme="minorHAnsi"/>
          <w:color w:val="000000"/>
        </w:rPr>
        <w:t xml:space="preserve">just </w:t>
      </w:r>
      <w:r>
        <w:rPr>
          <w:rFonts w:asciiTheme="minorHAnsi" w:hAnsiTheme="minorHAnsi" w:cstheme="minorHAnsi"/>
          <w:color w:val="000000"/>
        </w:rPr>
        <w:t xml:space="preserve">above (for </w:t>
      </w:r>
      <w:r w:rsidR="006F32D3">
        <w:rPr>
          <w:rFonts w:asciiTheme="minorHAnsi" w:hAnsiTheme="minorHAnsi" w:cstheme="minorHAnsi"/>
          <w:color w:val="000000"/>
        </w:rPr>
        <w:t>two</w:t>
      </w:r>
      <w:r>
        <w:rPr>
          <w:rFonts w:asciiTheme="minorHAnsi" w:hAnsiTheme="minorHAnsi" w:cstheme="minorHAnsi"/>
          <w:color w:val="000000"/>
        </w:rPr>
        <w:t>-pension cases) can be generalised as appropriate.</w:t>
      </w:r>
    </w:p>
    <w:p w:rsidR="00647A27" w:rsidRDefault="00647A27" w:rsidP="00192D5B">
      <w:pPr>
        <w:pStyle w:val="NormalWeb"/>
        <w:jc w:val="both"/>
        <w:rPr>
          <w:rFonts w:asciiTheme="minorHAnsi" w:hAnsiTheme="minorHAnsi" w:cstheme="minorHAnsi"/>
          <w:color w:val="000000"/>
        </w:rPr>
      </w:pPr>
    </w:p>
    <w:p w:rsidR="00C55755" w:rsidRDefault="00647A27" w:rsidP="00192D5B">
      <w:pPr>
        <w:pStyle w:val="NormalWeb"/>
        <w:jc w:val="both"/>
        <w:rPr>
          <w:rFonts w:asciiTheme="minorHAnsi" w:hAnsiTheme="minorHAnsi" w:cstheme="minorHAnsi"/>
          <w:color w:val="000000"/>
        </w:rPr>
      </w:pPr>
      <w:r>
        <w:rPr>
          <w:rFonts w:asciiTheme="minorHAnsi" w:hAnsiTheme="minorHAnsi" w:cstheme="minorHAnsi"/>
          <w:color w:val="000000"/>
        </w:rPr>
        <w:t>4. In 2013 t</w:t>
      </w:r>
      <w:r w:rsidRPr="00647A27">
        <w:rPr>
          <w:rFonts w:asciiTheme="minorHAnsi" w:hAnsiTheme="minorHAnsi" w:cstheme="minorHAnsi"/>
          <w:color w:val="000000"/>
        </w:rPr>
        <w:t xml:space="preserve">he Department of Public Expenditure and Reform (DPER) </w:t>
      </w:r>
      <w:r>
        <w:rPr>
          <w:rFonts w:asciiTheme="minorHAnsi" w:hAnsiTheme="minorHAnsi" w:cstheme="minorHAnsi"/>
          <w:color w:val="000000"/>
        </w:rPr>
        <w:t xml:space="preserve">sent </w:t>
      </w:r>
      <w:r w:rsidRPr="00647A27">
        <w:rPr>
          <w:rFonts w:asciiTheme="minorHAnsi" w:hAnsiTheme="minorHAnsi" w:cstheme="minorHAnsi"/>
          <w:color w:val="000000"/>
        </w:rPr>
        <w:t xml:space="preserve">lists of </w:t>
      </w:r>
      <w:r w:rsidR="0012234A">
        <w:rPr>
          <w:rFonts w:asciiTheme="minorHAnsi" w:hAnsiTheme="minorHAnsi" w:cstheme="minorHAnsi"/>
          <w:color w:val="000000"/>
        </w:rPr>
        <w:t xml:space="preserve">multi-pension </w:t>
      </w:r>
      <w:r w:rsidRPr="00647A27">
        <w:rPr>
          <w:rFonts w:asciiTheme="minorHAnsi" w:hAnsiTheme="minorHAnsi" w:cstheme="minorHAnsi"/>
          <w:color w:val="000000"/>
        </w:rPr>
        <w:t>pensioners</w:t>
      </w:r>
      <w:r w:rsidR="0012234A">
        <w:rPr>
          <w:rFonts w:asciiTheme="minorHAnsi" w:hAnsiTheme="minorHAnsi" w:cstheme="minorHAnsi"/>
          <w:color w:val="000000"/>
        </w:rPr>
        <w:t xml:space="preserve"> </w:t>
      </w:r>
      <w:r w:rsidRPr="00647A27">
        <w:rPr>
          <w:rFonts w:asciiTheme="minorHAnsi" w:hAnsiTheme="minorHAnsi" w:cstheme="minorHAnsi"/>
          <w:color w:val="000000"/>
        </w:rPr>
        <w:t>who qualif</w:t>
      </w:r>
      <w:r w:rsidR="00C55755">
        <w:rPr>
          <w:rFonts w:asciiTheme="minorHAnsi" w:hAnsiTheme="minorHAnsi" w:cstheme="minorHAnsi"/>
          <w:color w:val="000000"/>
        </w:rPr>
        <w:t>ied</w:t>
      </w:r>
      <w:r w:rsidRPr="00647A27">
        <w:rPr>
          <w:rFonts w:asciiTheme="minorHAnsi" w:hAnsiTheme="minorHAnsi" w:cstheme="minorHAnsi"/>
          <w:color w:val="000000"/>
        </w:rPr>
        <w:t xml:space="preserve"> to be affected by </w:t>
      </w:r>
      <w:r w:rsidR="00740D9F">
        <w:rPr>
          <w:rFonts w:asciiTheme="minorHAnsi" w:hAnsiTheme="minorHAnsi" w:cstheme="minorHAnsi"/>
          <w:color w:val="000000"/>
        </w:rPr>
        <w:t>“</w:t>
      </w:r>
      <w:r w:rsidRPr="00647A27">
        <w:rPr>
          <w:rFonts w:asciiTheme="minorHAnsi" w:hAnsiTheme="minorHAnsi" w:cstheme="minorHAnsi"/>
          <w:color w:val="000000"/>
        </w:rPr>
        <w:t>PSPR aggregation</w:t>
      </w:r>
      <w:r w:rsidR="00740D9F">
        <w:rPr>
          <w:rFonts w:asciiTheme="minorHAnsi" w:hAnsiTheme="minorHAnsi" w:cstheme="minorHAnsi"/>
          <w:color w:val="000000"/>
        </w:rPr>
        <w:t>”</w:t>
      </w:r>
      <w:r w:rsidRPr="00647A27">
        <w:rPr>
          <w:rFonts w:asciiTheme="minorHAnsi" w:hAnsiTheme="minorHAnsi" w:cstheme="minorHAnsi"/>
          <w:color w:val="000000"/>
        </w:rPr>
        <w:t xml:space="preserve"> </w:t>
      </w:r>
      <w:r>
        <w:rPr>
          <w:rFonts w:asciiTheme="minorHAnsi" w:hAnsiTheme="minorHAnsi" w:cstheme="minorHAnsi"/>
          <w:color w:val="000000"/>
        </w:rPr>
        <w:t xml:space="preserve">to public service </w:t>
      </w:r>
      <w:r w:rsidR="004C7192">
        <w:rPr>
          <w:rFonts w:asciiTheme="minorHAnsi" w:hAnsiTheme="minorHAnsi" w:cstheme="minorHAnsi"/>
          <w:color w:val="000000"/>
        </w:rPr>
        <w:t>pension-paying authorities (</w:t>
      </w:r>
      <w:r>
        <w:rPr>
          <w:rFonts w:asciiTheme="minorHAnsi" w:hAnsiTheme="minorHAnsi" w:cstheme="minorHAnsi"/>
          <w:color w:val="000000"/>
        </w:rPr>
        <w:t>payrolls</w:t>
      </w:r>
      <w:r w:rsidR="004C7192">
        <w:rPr>
          <w:rFonts w:asciiTheme="minorHAnsi" w:hAnsiTheme="minorHAnsi" w:cstheme="minorHAnsi"/>
          <w:color w:val="000000"/>
        </w:rPr>
        <w:t>)</w:t>
      </w:r>
      <w:r>
        <w:rPr>
          <w:rFonts w:asciiTheme="minorHAnsi" w:hAnsiTheme="minorHAnsi" w:cstheme="minorHAnsi"/>
          <w:color w:val="000000"/>
        </w:rPr>
        <w:t>. These lists</w:t>
      </w:r>
      <w:r w:rsidR="0012234A">
        <w:rPr>
          <w:rFonts w:asciiTheme="minorHAnsi" w:hAnsiTheme="minorHAnsi" w:cstheme="minorHAnsi"/>
          <w:color w:val="000000"/>
        </w:rPr>
        <w:t>, which c</w:t>
      </w:r>
      <w:r w:rsidR="00447D17">
        <w:rPr>
          <w:rFonts w:asciiTheme="minorHAnsi" w:hAnsiTheme="minorHAnsi" w:cstheme="minorHAnsi"/>
          <w:color w:val="000000"/>
        </w:rPr>
        <w:t>ontained comprehensive relevant</w:t>
      </w:r>
      <w:r w:rsidR="0012234A">
        <w:rPr>
          <w:rFonts w:asciiTheme="minorHAnsi" w:hAnsiTheme="minorHAnsi" w:cstheme="minorHAnsi"/>
          <w:color w:val="000000"/>
        </w:rPr>
        <w:t xml:space="preserve"> details of the pensions concerned,</w:t>
      </w:r>
      <w:r>
        <w:rPr>
          <w:rFonts w:asciiTheme="minorHAnsi" w:hAnsiTheme="minorHAnsi" w:cstheme="minorHAnsi"/>
          <w:color w:val="000000"/>
        </w:rPr>
        <w:t xml:space="preserve"> were prepared </w:t>
      </w:r>
      <w:r w:rsidR="004C7192">
        <w:rPr>
          <w:rFonts w:asciiTheme="minorHAnsi" w:hAnsiTheme="minorHAnsi" w:cstheme="minorHAnsi"/>
          <w:color w:val="000000"/>
        </w:rPr>
        <w:t xml:space="preserve">by DPER </w:t>
      </w:r>
      <w:r>
        <w:rPr>
          <w:rFonts w:asciiTheme="minorHAnsi" w:hAnsiTheme="minorHAnsi" w:cstheme="minorHAnsi"/>
          <w:color w:val="000000"/>
        </w:rPr>
        <w:t xml:space="preserve">following large-scale census-type </w:t>
      </w:r>
      <w:r w:rsidR="0012234A">
        <w:rPr>
          <w:rFonts w:asciiTheme="minorHAnsi" w:hAnsiTheme="minorHAnsi" w:cstheme="minorHAnsi"/>
          <w:color w:val="000000"/>
        </w:rPr>
        <w:t xml:space="preserve">data acquisition from </w:t>
      </w:r>
      <w:r w:rsidRPr="00647A27">
        <w:rPr>
          <w:rFonts w:asciiTheme="minorHAnsi" w:hAnsiTheme="minorHAnsi" w:cstheme="minorHAnsi"/>
          <w:color w:val="000000"/>
        </w:rPr>
        <w:t>public service</w:t>
      </w:r>
      <w:r w:rsidR="0012234A">
        <w:rPr>
          <w:rFonts w:asciiTheme="minorHAnsi" w:hAnsiTheme="minorHAnsi" w:cstheme="minorHAnsi"/>
          <w:color w:val="000000"/>
        </w:rPr>
        <w:t xml:space="preserve"> pensioner payrolls</w:t>
      </w:r>
      <w:r w:rsidRPr="00647A27">
        <w:rPr>
          <w:rFonts w:asciiTheme="minorHAnsi" w:hAnsiTheme="minorHAnsi" w:cstheme="minorHAnsi"/>
          <w:color w:val="000000"/>
        </w:rPr>
        <w:t xml:space="preserve">.  </w:t>
      </w:r>
      <w:r w:rsidR="004C7192">
        <w:rPr>
          <w:rFonts w:asciiTheme="minorHAnsi" w:hAnsiTheme="minorHAnsi" w:cstheme="minorHAnsi"/>
          <w:color w:val="000000"/>
        </w:rPr>
        <w:t xml:space="preserve">Following the issuing of these </w:t>
      </w:r>
      <w:r w:rsidR="0012234A">
        <w:rPr>
          <w:rFonts w:asciiTheme="minorHAnsi" w:hAnsiTheme="minorHAnsi" w:cstheme="minorHAnsi"/>
          <w:color w:val="000000"/>
        </w:rPr>
        <w:t>pensioner l</w:t>
      </w:r>
      <w:r w:rsidR="004C7192">
        <w:rPr>
          <w:rFonts w:asciiTheme="minorHAnsi" w:hAnsiTheme="minorHAnsi" w:cstheme="minorHAnsi"/>
          <w:color w:val="000000"/>
        </w:rPr>
        <w:t xml:space="preserve">ists, the appropriate payroll adjustments were made so that, </w:t>
      </w:r>
      <w:r w:rsidR="0012234A">
        <w:rPr>
          <w:rFonts w:asciiTheme="minorHAnsi" w:hAnsiTheme="minorHAnsi" w:cstheme="minorHAnsi"/>
          <w:color w:val="000000"/>
        </w:rPr>
        <w:t xml:space="preserve">commencing </w:t>
      </w:r>
      <w:r w:rsidR="004C7192">
        <w:rPr>
          <w:rFonts w:asciiTheme="minorHAnsi" w:hAnsiTheme="minorHAnsi" w:cstheme="minorHAnsi"/>
          <w:color w:val="000000"/>
        </w:rPr>
        <w:t>1 September 201</w:t>
      </w:r>
      <w:r w:rsidR="00C578D0">
        <w:rPr>
          <w:rFonts w:asciiTheme="minorHAnsi" w:hAnsiTheme="minorHAnsi" w:cstheme="minorHAnsi"/>
          <w:color w:val="000000"/>
        </w:rPr>
        <w:t>3</w:t>
      </w:r>
      <w:r w:rsidR="004C7192">
        <w:rPr>
          <w:rFonts w:asciiTheme="minorHAnsi" w:hAnsiTheme="minorHAnsi" w:cstheme="minorHAnsi"/>
          <w:color w:val="000000"/>
        </w:rPr>
        <w:t xml:space="preserve">, </w:t>
      </w:r>
      <w:r w:rsidR="0012234A">
        <w:rPr>
          <w:rFonts w:asciiTheme="minorHAnsi" w:hAnsiTheme="minorHAnsi" w:cstheme="minorHAnsi"/>
          <w:color w:val="000000"/>
        </w:rPr>
        <w:t>and in respect of any such pensioner case,</w:t>
      </w:r>
    </w:p>
    <w:p w:rsidR="00C55755" w:rsidRDefault="00C55755" w:rsidP="00192D5B">
      <w:pPr>
        <w:pStyle w:val="NormalWeb"/>
        <w:jc w:val="both"/>
        <w:rPr>
          <w:rFonts w:asciiTheme="minorHAnsi" w:hAnsiTheme="minorHAnsi" w:cstheme="minorHAnsi"/>
          <w:color w:val="000000"/>
        </w:rPr>
      </w:pPr>
    </w:p>
    <w:p w:rsidR="00C55755" w:rsidRDefault="0012234A" w:rsidP="00447D17">
      <w:pPr>
        <w:pStyle w:val="NormalWeb"/>
        <w:numPr>
          <w:ilvl w:val="0"/>
          <w:numId w:val="7"/>
        </w:numPr>
        <w:jc w:val="both"/>
        <w:rPr>
          <w:rFonts w:asciiTheme="minorHAnsi" w:hAnsiTheme="minorHAnsi" w:cstheme="minorHAnsi"/>
          <w:color w:val="000000"/>
        </w:rPr>
      </w:pPr>
      <w:r>
        <w:rPr>
          <w:rFonts w:asciiTheme="minorHAnsi" w:hAnsiTheme="minorHAnsi" w:cstheme="minorHAnsi"/>
          <w:color w:val="000000"/>
        </w:rPr>
        <w:t>P</w:t>
      </w:r>
      <w:r w:rsidR="00C55755">
        <w:rPr>
          <w:rFonts w:asciiTheme="minorHAnsi" w:hAnsiTheme="minorHAnsi" w:cstheme="minorHAnsi"/>
          <w:color w:val="000000"/>
        </w:rPr>
        <w:t>SPR</w:t>
      </w:r>
      <w:r w:rsidR="004C7192">
        <w:rPr>
          <w:rFonts w:asciiTheme="minorHAnsi" w:hAnsiTheme="minorHAnsi" w:cstheme="minorHAnsi"/>
          <w:color w:val="000000"/>
        </w:rPr>
        <w:t>,</w:t>
      </w:r>
      <w:r w:rsidR="00C55755">
        <w:rPr>
          <w:rFonts w:asciiTheme="minorHAnsi" w:hAnsiTheme="minorHAnsi" w:cstheme="minorHAnsi"/>
          <w:color w:val="000000"/>
        </w:rPr>
        <w:t xml:space="preserve"> as calculated on the combined or aggregate</w:t>
      </w:r>
      <w:r>
        <w:rPr>
          <w:rFonts w:asciiTheme="minorHAnsi" w:hAnsiTheme="minorHAnsi" w:cstheme="minorHAnsi"/>
          <w:color w:val="000000"/>
        </w:rPr>
        <w:t>d values of the pensions</w:t>
      </w:r>
      <w:r w:rsidR="00C55755">
        <w:rPr>
          <w:rFonts w:asciiTheme="minorHAnsi" w:hAnsiTheme="minorHAnsi" w:cstheme="minorHAnsi"/>
          <w:color w:val="000000"/>
        </w:rPr>
        <w:t xml:space="preserve">, </w:t>
      </w:r>
      <w:r>
        <w:rPr>
          <w:rFonts w:asciiTheme="minorHAnsi" w:hAnsiTheme="minorHAnsi" w:cstheme="minorHAnsi"/>
          <w:color w:val="000000"/>
        </w:rPr>
        <w:t xml:space="preserve">is subtracted from </w:t>
      </w:r>
      <w:r w:rsidR="00C55755">
        <w:rPr>
          <w:rFonts w:asciiTheme="minorHAnsi" w:hAnsiTheme="minorHAnsi" w:cstheme="minorHAnsi"/>
          <w:color w:val="000000"/>
        </w:rPr>
        <w:t xml:space="preserve">the  higher (or highest) value pension only, with </w:t>
      </w:r>
    </w:p>
    <w:p w:rsidR="00740D9F" w:rsidRDefault="00740D9F" w:rsidP="00740D9F">
      <w:pPr>
        <w:pStyle w:val="NormalWeb"/>
        <w:ind w:left="720"/>
        <w:jc w:val="both"/>
        <w:rPr>
          <w:rFonts w:asciiTheme="minorHAnsi" w:hAnsiTheme="minorHAnsi" w:cstheme="minorHAnsi"/>
          <w:color w:val="000000"/>
        </w:rPr>
      </w:pPr>
    </w:p>
    <w:p w:rsidR="00C55755" w:rsidRDefault="00C55755" w:rsidP="00447D17">
      <w:pPr>
        <w:pStyle w:val="NormalWeb"/>
        <w:numPr>
          <w:ilvl w:val="0"/>
          <w:numId w:val="6"/>
        </w:numPr>
        <w:jc w:val="both"/>
        <w:rPr>
          <w:rFonts w:asciiTheme="minorHAnsi" w:hAnsiTheme="minorHAnsi" w:cstheme="minorHAnsi"/>
          <w:color w:val="000000"/>
        </w:rPr>
      </w:pPr>
      <w:r>
        <w:rPr>
          <w:rFonts w:asciiTheme="minorHAnsi" w:hAnsiTheme="minorHAnsi" w:cstheme="minorHAnsi"/>
          <w:color w:val="000000"/>
        </w:rPr>
        <w:lastRenderedPageBreak/>
        <w:t>PSPR being discontinued (</w:t>
      </w:r>
      <w:r w:rsidR="0012234A">
        <w:rPr>
          <w:rFonts w:asciiTheme="minorHAnsi" w:hAnsiTheme="minorHAnsi" w:cstheme="minorHAnsi"/>
          <w:color w:val="000000"/>
        </w:rPr>
        <w:t>if previously applied</w:t>
      </w:r>
      <w:r>
        <w:rPr>
          <w:rFonts w:asciiTheme="minorHAnsi" w:hAnsiTheme="minorHAnsi" w:cstheme="minorHAnsi"/>
          <w:color w:val="000000"/>
        </w:rPr>
        <w:t xml:space="preserve">) in the case of the lower </w:t>
      </w:r>
      <w:r w:rsidR="000B4DF4">
        <w:rPr>
          <w:rFonts w:asciiTheme="minorHAnsi" w:hAnsiTheme="minorHAnsi" w:cstheme="minorHAnsi"/>
          <w:color w:val="000000"/>
        </w:rPr>
        <w:t xml:space="preserve">value </w:t>
      </w:r>
      <w:r>
        <w:rPr>
          <w:rFonts w:asciiTheme="minorHAnsi" w:hAnsiTheme="minorHAnsi" w:cstheme="minorHAnsi"/>
          <w:color w:val="000000"/>
        </w:rPr>
        <w:t>pension (or pensions)</w:t>
      </w:r>
      <w:r w:rsidR="00D87C8F">
        <w:rPr>
          <w:rFonts w:asciiTheme="minorHAnsi" w:hAnsiTheme="minorHAnsi" w:cstheme="minorHAnsi"/>
          <w:color w:val="000000"/>
        </w:rPr>
        <w:t>; such lower value pension</w:t>
      </w:r>
      <w:r w:rsidR="006426FF">
        <w:rPr>
          <w:rFonts w:asciiTheme="minorHAnsi" w:hAnsiTheme="minorHAnsi" w:cstheme="minorHAnsi"/>
          <w:color w:val="000000"/>
        </w:rPr>
        <w:t>(s)</w:t>
      </w:r>
      <w:r w:rsidR="00D87C8F">
        <w:rPr>
          <w:rFonts w:asciiTheme="minorHAnsi" w:hAnsiTheme="minorHAnsi" w:cstheme="minorHAnsi"/>
          <w:color w:val="000000"/>
        </w:rPr>
        <w:t xml:space="preserve"> would rise in value assuming a prior, pre-aggregation</w:t>
      </w:r>
      <w:r w:rsidR="006F32D3">
        <w:rPr>
          <w:rFonts w:asciiTheme="minorHAnsi" w:hAnsiTheme="minorHAnsi" w:cstheme="minorHAnsi"/>
          <w:color w:val="000000"/>
        </w:rPr>
        <w:t>,</w:t>
      </w:r>
      <w:r w:rsidR="00D87C8F">
        <w:rPr>
          <w:rFonts w:asciiTheme="minorHAnsi" w:hAnsiTheme="minorHAnsi" w:cstheme="minorHAnsi"/>
          <w:color w:val="000000"/>
        </w:rPr>
        <w:t xml:space="preserve"> imposition of PSPR</w:t>
      </w:r>
      <w:r>
        <w:rPr>
          <w:rFonts w:asciiTheme="minorHAnsi" w:hAnsiTheme="minorHAnsi" w:cstheme="minorHAnsi"/>
          <w:color w:val="000000"/>
        </w:rPr>
        <w:t>.</w:t>
      </w:r>
    </w:p>
    <w:p w:rsidR="000B4DF4" w:rsidRDefault="00C55755" w:rsidP="00192D5B">
      <w:pPr>
        <w:pStyle w:val="NormalWeb"/>
        <w:jc w:val="both"/>
        <w:rPr>
          <w:rFonts w:asciiTheme="minorHAnsi" w:hAnsiTheme="minorHAnsi" w:cstheme="minorHAnsi"/>
          <w:color w:val="000000"/>
        </w:rPr>
      </w:pPr>
      <w:r>
        <w:rPr>
          <w:rFonts w:asciiTheme="minorHAnsi" w:hAnsiTheme="minorHAnsi" w:cstheme="minorHAnsi"/>
          <w:color w:val="000000"/>
        </w:rPr>
        <w:t>5. In addition to pensioners covered by these 2013</w:t>
      </w:r>
      <w:r w:rsidR="00740D9F">
        <w:rPr>
          <w:rFonts w:asciiTheme="minorHAnsi" w:hAnsiTheme="minorHAnsi" w:cstheme="minorHAnsi"/>
          <w:color w:val="000000"/>
        </w:rPr>
        <w:t>-prepared</w:t>
      </w:r>
      <w:r>
        <w:rPr>
          <w:rFonts w:asciiTheme="minorHAnsi" w:hAnsiTheme="minorHAnsi" w:cstheme="minorHAnsi"/>
          <w:color w:val="000000"/>
        </w:rPr>
        <w:t xml:space="preserve"> lists, certain other pensioners (generally new retirees or new survivor pension recipients) have since then been subjected to </w:t>
      </w:r>
      <w:r w:rsidR="00740D9F">
        <w:rPr>
          <w:rFonts w:asciiTheme="minorHAnsi" w:hAnsiTheme="minorHAnsi" w:cstheme="minorHAnsi"/>
          <w:color w:val="000000"/>
        </w:rPr>
        <w:t xml:space="preserve">aggregation of pensions for </w:t>
      </w:r>
      <w:r>
        <w:rPr>
          <w:rFonts w:asciiTheme="minorHAnsi" w:hAnsiTheme="minorHAnsi" w:cstheme="minorHAnsi"/>
          <w:color w:val="000000"/>
        </w:rPr>
        <w:t>PSPR</w:t>
      </w:r>
      <w:r w:rsidR="00740D9F">
        <w:rPr>
          <w:rFonts w:asciiTheme="minorHAnsi" w:hAnsiTheme="minorHAnsi" w:cstheme="minorHAnsi"/>
          <w:color w:val="000000"/>
        </w:rPr>
        <w:t xml:space="preserve"> purposes</w:t>
      </w:r>
      <w:r>
        <w:rPr>
          <w:rFonts w:asciiTheme="minorHAnsi" w:hAnsiTheme="minorHAnsi" w:cstheme="minorHAnsi"/>
          <w:color w:val="000000"/>
        </w:rPr>
        <w:t>. These new cases have been identified and actioned by individual pension paying authorities.</w:t>
      </w:r>
      <w:r w:rsidR="00740D9F">
        <w:rPr>
          <w:rFonts w:asciiTheme="minorHAnsi" w:hAnsiTheme="minorHAnsi" w:cstheme="minorHAnsi"/>
          <w:color w:val="000000"/>
        </w:rPr>
        <w:t xml:space="preserve">  Such new cases typically </w:t>
      </w:r>
      <w:r w:rsidR="00A71948">
        <w:rPr>
          <w:rFonts w:asciiTheme="minorHAnsi" w:hAnsiTheme="minorHAnsi" w:cstheme="minorHAnsi"/>
          <w:color w:val="000000"/>
        </w:rPr>
        <w:t>are identified</w:t>
      </w:r>
      <w:r w:rsidR="00740D9F">
        <w:rPr>
          <w:rFonts w:asciiTheme="minorHAnsi" w:hAnsiTheme="minorHAnsi" w:cstheme="minorHAnsi"/>
          <w:color w:val="000000"/>
        </w:rPr>
        <w:t xml:space="preserve"> when, at pension award time, a pensioner is asked by the pension-paying authority to declare any other public service pensions which he or she receives, and duly declares the ex</w:t>
      </w:r>
      <w:r w:rsidR="00AA6F2B">
        <w:rPr>
          <w:rFonts w:asciiTheme="minorHAnsi" w:hAnsiTheme="minorHAnsi" w:cstheme="minorHAnsi"/>
          <w:color w:val="000000"/>
        </w:rPr>
        <w:t>istence of such another pension.</w:t>
      </w:r>
      <w:r w:rsidR="00740D9F">
        <w:rPr>
          <w:rFonts w:asciiTheme="minorHAnsi" w:hAnsiTheme="minorHAnsi" w:cstheme="minorHAnsi"/>
          <w:color w:val="000000"/>
        </w:rPr>
        <w:t xml:space="preserve"> </w:t>
      </w:r>
      <w:r w:rsidR="00AA6F2B">
        <w:rPr>
          <w:rFonts w:asciiTheme="minorHAnsi" w:hAnsiTheme="minorHAnsi" w:cstheme="minorHAnsi"/>
          <w:color w:val="000000"/>
        </w:rPr>
        <w:t>F</w:t>
      </w:r>
      <w:r w:rsidR="00740D9F">
        <w:rPr>
          <w:rFonts w:asciiTheme="minorHAnsi" w:hAnsiTheme="minorHAnsi" w:cstheme="minorHAnsi"/>
          <w:color w:val="000000"/>
        </w:rPr>
        <w:t>ollowing liaison between the two pension-paying authorities</w:t>
      </w:r>
      <w:r w:rsidR="00AA6F2B">
        <w:rPr>
          <w:rFonts w:asciiTheme="minorHAnsi" w:hAnsiTheme="minorHAnsi" w:cstheme="minorHAnsi"/>
          <w:color w:val="000000"/>
        </w:rPr>
        <w:t xml:space="preserve"> in such cases</w:t>
      </w:r>
      <w:r w:rsidR="00740D9F">
        <w:rPr>
          <w:rFonts w:asciiTheme="minorHAnsi" w:hAnsiTheme="minorHAnsi" w:cstheme="minorHAnsi"/>
          <w:color w:val="000000"/>
        </w:rPr>
        <w:t xml:space="preserve">, the combined PSPR treatment set out at paragraph 4 </w:t>
      </w:r>
      <w:r w:rsidR="00AA6F2B">
        <w:rPr>
          <w:rFonts w:asciiTheme="minorHAnsi" w:hAnsiTheme="minorHAnsi" w:cstheme="minorHAnsi"/>
          <w:color w:val="000000"/>
        </w:rPr>
        <w:t>of this Appendix</w:t>
      </w:r>
      <w:r w:rsidR="00740D9F">
        <w:rPr>
          <w:rFonts w:asciiTheme="minorHAnsi" w:hAnsiTheme="minorHAnsi" w:cstheme="minorHAnsi"/>
          <w:color w:val="000000"/>
        </w:rPr>
        <w:t xml:space="preserve"> is implemented. </w:t>
      </w:r>
    </w:p>
    <w:p w:rsidR="000B4DF4" w:rsidRDefault="000B4DF4" w:rsidP="00192D5B">
      <w:pPr>
        <w:pStyle w:val="NormalWeb"/>
        <w:jc w:val="both"/>
        <w:rPr>
          <w:rFonts w:asciiTheme="minorHAnsi" w:hAnsiTheme="minorHAnsi" w:cstheme="minorHAnsi"/>
          <w:color w:val="000000"/>
        </w:rPr>
      </w:pPr>
    </w:p>
    <w:p w:rsidR="000B4DF4" w:rsidRDefault="000B4DF4" w:rsidP="000B4DF4">
      <w:pPr>
        <w:jc w:val="both"/>
        <w:rPr>
          <w:rFonts w:asciiTheme="minorHAnsi" w:hAnsiTheme="minorHAnsi" w:cstheme="minorHAnsi"/>
          <w:color w:val="000000"/>
        </w:rPr>
      </w:pPr>
      <w:r>
        <w:rPr>
          <w:rFonts w:asciiTheme="minorHAnsi" w:hAnsiTheme="minorHAnsi" w:cstheme="minorHAnsi"/>
          <w:color w:val="000000"/>
        </w:rPr>
        <w:t>6. Public service p</w:t>
      </w:r>
      <w:r w:rsidR="00740D9F">
        <w:rPr>
          <w:rFonts w:asciiTheme="minorHAnsi" w:hAnsiTheme="minorHAnsi" w:cstheme="minorHAnsi"/>
          <w:color w:val="000000"/>
        </w:rPr>
        <w:t xml:space="preserve">ension-paying authorities should </w:t>
      </w:r>
      <w:r w:rsidR="001F2347">
        <w:rPr>
          <w:rFonts w:asciiTheme="minorHAnsi" w:hAnsiTheme="minorHAnsi" w:cstheme="minorHAnsi"/>
          <w:color w:val="000000"/>
        </w:rPr>
        <w:t>continue to identify and act on a</w:t>
      </w:r>
      <w:r w:rsidR="00740D9F">
        <w:rPr>
          <w:rFonts w:asciiTheme="minorHAnsi" w:hAnsiTheme="minorHAnsi" w:cstheme="minorHAnsi"/>
          <w:color w:val="000000"/>
        </w:rPr>
        <w:t xml:space="preserve">ny new cases </w:t>
      </w:r>
      <w:r w:rsidR="00EF21F0">
        <w:rPr>
          <w:rFonts w:asciiTheme="minorHAnsi" w:hAnsiTheme="minorHAnsi" w:cstheme="minorHAnsi"/>
          <w:color w:val="000000"/>
        </w:rPr>
        <w:t>where pension aggregation for PSPR purposes is warranted.</w:t>
      </w:r>
      <w:r>
        <w:rPr>
          <w:rFonts w:asciiTheme="minorHAnsi" w:hAnsiTheme="minorHAnsi" w:cstheme="minorHAnsi"/>
          <w:color w:val="000000"/>
        </w:rPr>
        <w:t xml:space="preserve">  In this connection persons being awarded a public service pension are legally obliged, under section 6A</w:t>
      </w:r>
      <w:r w:rsidR="00447D17">
        <w:rPr>
          <w:rFonts w:asciiTheme="minorHAnsi" w:hAnsiTheme="minorHAnsi" w:cstheme="minorHAnsi"/>
          <w:color w:val="000000"/>
        </w:rPr>
        <w:t>(1)</w:t>
      </w:r>
      <w:r>
        <w:rPr>
          <w:rFonts w:asciiTheme="minorHAnsi" w:hAnsiTheme="minorHAnsi" w:cstheme="minorHAnsi"/>
          <w:color w:val="000000"/>
        </w:rPr>
        <w:t xml:space="preserve"> of FEMPI 2010 (as inserted by section 72 of the </w:t>
      </w:r>
      <w:r w:rsidRPr="000B4DF4">
        <w:rPr>
          <w:rFonts w:asciiTheme="minorHAnsi" w:hAnsiTheme="minorHAnsi" w:cstheme="minorHAnsi"/>
          <w:color w:val="000000"/>
        </w:rPr>
        <w:t>Public Service Pensions (Single Scheme and Other Provisions) Act 2012</w:t>
      </w:r>
      <w:r>
        <w:rPr>
          <w:rFonts w:asciiTheme="minorHAnsi" w:hAnsiTheme="minorHAnsi" w:cstheme="minorHAnsi"/>
          <w:color w:val="000000"/>
        </w:rPr>
        <w:t xml:space="preserve">) to provide all necessary information for the purposes of such possible pension aggregation as may be requested by pension-paying authorities.  </w:t>
      </w:r>
    </w:p>
    <w:p w:rsidR="000B4DF4" w:rsidRDefault="000B4DF4" w:rsidP="000B4DF4">
      <w:pPr>
        <w:jc w:val="both"/>
        <w:rPr>
          <w:rFonts w:asciiTheme="minorHAnsi" w:hAnsiTheme="minorHAnsi" w:cstheme="minorHAnsi"/>
          <w:color w:val="000000"/>
        </w:rPr>
      </w:pPr>
    </w:p>
    <w:p w:rsidR="00B4523D" w:rsidRDefault="000B4DF4" w:rsidP="000B4DF4">
      <w:pPr>
        <w:jc w:val="both"/>
        <w:rPr>
          <w:rFonts w:asciiTheme="minorHAnsi" w:hAnsiTheme="minorHAnsi" w:cstheme="minorHAnsi"/>
          <w:color w:val="000000"/>
        </w:rPr>
      </w:pPr>
      <w:r>
        <w:rPr>
          <w:rFonts w:asciiTheme="minorHAnsi" w:hAnsiTheme="minorHAnsi" w:cstheme="minorHAnsi"/>
          <w:color w:val="000000"/>
        </w:rPr>
        <w:t xml:space="preserve">7. In simple terms this </w:t>
      </w:r>
      <w:r w:rsidR="00B4523D">
        <w:rPr>
          <w:rFonts w:asciiTheme="minorHAnsi" w:hAnsiTheme="minorHAnsi" w:cstheme="minorHAnsi"/>
          <w:color w:val="000000"/>
        </w:rPr>
        <w:t xml:space="preserve">means that </w:t>
      </w:r>
      <w:r>
        <w:rPr>
          <w:rFonts w:asciiTheme="minorHAnsi" w:hAnsiTheme="minorHAnsi" w:cstheme="minorHAnsi"/>
          <w:color w:val="000000"/>
        </w:rPr>
        <w:t xml:space="preserve">each pension paying authority, prior to commencing payment of a public service pension (whether to a member or dependant), </w:t>
      </w:r>
      <w:r w:rsidR="00B4523D">
        <w:rPr>
          <w:rFonts w:asciiTheme="minorHAnsi" w:hAnsiTheme="minorHAnsi" w:cstheme="minorHAnsi"/>
          <w:color w:val="000000"/>
        </w:rPr>
        <w:t xml:space="preserve">can </w:t>
      </w:r>
      <w:r>
        <w:rPr>
          <w:rFonts w:asciiTheme="minorHAnsi" w:hAnsiTheme="minorHAnsi" w:cstheme="minorHAnsi"/>
          <w:color w:val="000000"/>
        </w:rPr>
        <w:t xml:space="preserve">require the recipient to declare any other public service pensions held.  For </w:t>
      </w:r>
      <w:r w:rsidR="00B4523D">
        <w:rPr>
          <w:rFonts w:asciiTheme="minorHAnsi" w:hAnsiTheme="minorHAnsi" w:cstheme="minorHAnsi"/>
          <w:color w:val="000000"/>
        </w:rPr>
        <w:t xml:space="preserve">the purposes of possible </w:t>
      </w:r>
      <w:r>
        <w:rPr>
          <w:rFonts w:asciiTheme="minorHAnsi" w:hAnsiTheme="minorHAnsi" w:cstheme="minorHAnsi"/>
          <w:color w:val="000000"/>
        </w:rPr>
        <w:t xml:space="preserve">PSPR aggregation, such information should be sought </w:t>
      </w:r>
      <w:r w:rsidR="00B4523D">
        <w:rPr>
          <w:rFonts w:asciiTheme="minorHAnsi" w:hAnsiTheme="minorHAnsi" w:cstheme="minorHAnsi"/>
          <w:color w:val="000000"/>
        </w:rPr>
        <w:t xml:space="preserve">routinely </w:t>
      </w:r>
      <w:r>
        <w:rPr>
          <w:rFonts w:asciiTheme="minorHAnsi" w:hAnsiTheme="minorHAnsi" w:cstheme="minorHAnsi"/>
          <w:color w:val="000000"/>
        </w:rPr>
        <w:t xml:space="preserve">in respect of all </w:t>
      </w:r>
      <w:r w:rsidR="00B4523D">
        <w:rPr>
          <w:rFonts w:asciiTheme="minorHAnsi" w:hAnsiTheme="minorHAnsi" w:cstheme="minorHAnsi"/>
          <w:color w:val="000000"/>
        </w:rPr>
        <w:t>new pension awards</w:t>
      </w:r>
      <w:r w:rsidR="006F32D3">
        <w:rPr>
          <w:rFonts w:asciiTheme="minorHAnsi" w:hAnsiTheme="minorHAnsi" w:cstheme="minorHAnsi"/>
          <w:color w:val="000000"/>
        </w:rPr>
        <w:t>.</w:t>
      </w:r>
      <w:r w:rsidR="00B4523D">
        <w:rPr>
          <w:rFonts w:asciiTheme="minorHAnsi" w:hAnsiTheme="minorHAnsi" w:cstheme="minorHAnsi"/>
          <w:color w:val="000000"/>
        </w:rPr>
        <w:t xml:space="preserve"> Where the information provided </w:t>
      </w:r>
      <w:r w:rsidR="00447D17">
        <w:rPr>
          <w:rFonts w:asciiTheme="minorHAnsi" w:hAnsiTheme="minorHAnsi" w:cstheme="minorHAnsi"/>
          <w:color w:val="000000"/>
        </w:rPr>
        <w:t>points to</w:t>
      </w:r>
      <w:r w:rsidR="00B4523D">
        <w:rPr>
          <w:rFonts w:asciiTheme="minorHAnsi" w:hAnsiTheme="minorHAnsi" w:cstheme="minorHAnsi"/>
          <w:color w:val="000000"/>
        </w:rPr>
        <w:t xml:space="preserve"> the existence of a second pension, any necessary liaison with the pension-paying authority for that second pension should be initiated, and the appropriate adjustment to the pay-out values of each pension, </w:t>
      </w:r>
      <w:r w:rsidR="00447D17">
        <w:rPr>
          <w:rFonts w:asciiTheme="minorHAnsi" w:hAnsiTheme="minorHAnsi" w:cstheme="minorHAnsi"/>
          <w:color w:val="000000"/>
        </w:rPr>
        <w:t>if</w:t>
      </w:r>
      <w:r w:rsidR="00B4523D">
        <w:rPr>
          <w:rFonts w:asciiTheme="minorHAnsi" w:hAnsiTheme="minorHAnsi" w:cstheme="minorHAnsi"/>
          <w:color w:val="000000"/>
        </w:rPr>
        <w:t xml:space="preserve"> aggregation </w:t>
      </w:r>
      <w:r w:rsidR="00447D17">
        <w:rPr>
          <w:rFonts w:asciiTheme="minorHAnsi" w:hAnsiTheme="minorHAnsi" w:cstheme="minorHAnsi"/>
          <w:color w:val="000000"/>
        </w:rPr>
        <w:t>for PSPR purposes is indicated</w:t>
      </w:r>
      <w:r w:rsidR="00B4523D">
        <w:rPr>
          <w:rFonts w:asciiTheme="minorHAnsi" w:hAnsiTheme="minorHAnsi" w:cstheme="minorHAnsi"/>
          <w:color w:val="000000"/>
        </w:rPr>
        <w:t>, should be made.</w:t>
      </w:r>
    </w:p>
    <w:p w:rsidR="00B4523D" w:rsidRDefault="00B4523D" w:rsidP="000B4DF4">
      <w:pPr>
        <w:jc w:val="both"/>
        <w:rPr>
          <w:rFonts w:asciiTheme="minorHAnsi" w:hAnsiTheme="minorHAnsi" w:cstheme="minorHAnsi"/>
          <w:color w:val="000000"/>
        </w:rPr>
      </w:pPr>
    </w:p>
    <w:p w:rsidR="00B4523D" w:rsidRDefault="00B4523D" w:rsidP="000B4DF4">
      <w:pPr>
        <w:jc w:val="both"/>
        <w:rPr>
          <w:rFonts w:asciiTheme="minorHAnsi" w:hAnsiTheme="minorHAnsi" w:cstheme="minorHAnsi"/>
          <w:color w:val="000000"/>
        </w:rPr>
      </w:pPr>
      <w:r>
        <w:rPr>
          <w:rFonts w:asciiTheme="minorHAnsi" w:hAnsiTheme="minorHAnsi" w:cstheme="minorHAnsi"/>
          <w:color w:val="000000"/>
        </w:rPr>
        <w:t>8.  As indicated above</w:t>
      </w:r>
      <w:r w:rsidR="00D87C8F">
        <w:rPr>
          <w:rFonts w:asciiTheme="minorHAnsi" w:hAnsiTheme="minorHAnsi" w:cstheme="minorHAnsi"/>
          <w:color w:val="000000"/>
        </w:rPr>
        <w:t>,</w:t>
      </w:r>
      <w:r>
        <w:rPr>
          <w:rFonts w:asciiTheme="minorHAnsi" w:hAnsiTheme="minorHAnsi" w:cstheme="minorHAnsi"/>
          <w:color w:val="000000"/>
        </w:rPr>
        <w:t xml:space="preserve"> new-case PSPR-aggregation instances can be </w:t>
      </w:r>
      <w:r w:rsidR="001F2347">
        <w:rPr>
          <w:rFonts w:asciiTheme="minorHAnsi" w:hAnsiTheme="minorHAnsi" w:cstheme="minorHAnsi"/>
          <w:color w:val="000000"/>
        </w:rPr>
        <w:t>identified</w:t>
      </w:r>
      <w:r>
        <w:rPr>
          <w:rFonts w:asciiTheme="minorHAnsi" w:hAnsiTheme="minorHAnsi" w:cstheme="minorHAnsi"/>
          <w:color w:val="000000"/>
        </w:rPr>
        <w:t xml:space="preserve"> and dealt with by the relevant pension-paying authorities, </w:t>
      </w:r>
      <w:r w:rsidRPr="00D87C8F">
        <w:rPr>
          <w:rFonts w:asciiTheme="minorHAnsi" w:hAnsiTheme="minorHAnsi" w:cstheme="minorHAnsi"/>
          <w:b/>
          <w:color w:val="000000"/>
        </w:rPr>
        <w:t>and there is no requirement to refer such cases to DPER</w:t>
      </w:r>
      <w:r>
        <w:rPr>
          <w:rFonts w:asciiTheme="minorHAnsi" w:hAnsiTheme="minorHAnsi" w:cstheme="minorHAnsi"/>
          <w:color w:val="000000"/>
        </w:rPr>
        <w:t xml:space="preserve">. </w:t>
      </w:r>
      <w:r w:rsidR="00D87C8F">
        <w:rPr>
          <w:rFonts w:asciiTheme="minorHAnsi" w:hAnsiTheme="minorHAnsi" w:cstheme="minorHAnsi"/>
          <w:color w:val="000000"/>
        </w:rPr>
        <w:t>Any</w:t>
      </w:r>
      <w:r>
        <w:rPr>
          <w:rFonts w:asciiTheme="minorHAnsi" w:hAnsiTheme="minorHAnsi" w:cstheme="minorHAnsi"/>
          <w:color w:val="000000"/>
        </w:rPr>
        <w:t xml:space="preserve"> queries pension-</w:t>
      </w:r>
      <w:r w:rsidR="00B7495D">
        <w:rPr>
          <w:rFonts w:asciiTheme="minorHAnsi" w:hAnsiTheme="minorHAnsi" w:cstheme="minorHAnsi"/>
          <w:color w:val="000000"/>
        </w:rPr>
        <w:t xml:space="preserve">paying </w:t>
      </w:r>
      <w:r>
        <w:rPr>
          <w:rFonts w:asciiTheme="minorHAnsi" w:hAnsiTheme="minorHAnsi" w:cstheme="minorHAnsi"/>
          <w:color w:val="000000"/>
        </w:rPr>
        <w:t xml:space="preserve">authorities may nonetheless have </w:t>
      </w:r>
      <w:r w:rsidR="00B7495D">
        <w:rPr>
          <w:rFonts w:asciiTheme="minorHAnsi" w:hAnsiTheme="minorHAnsi" w:cstheme="minorHAnsi"/>
          <w:color w:val="000000"/>
        </w:rPr>
        <w:t xml:space="preserve">concerning such cases </w:t>
      </w:r>
      <w:r>
        <w:rPr>
          <w:rFonts w:asciiTheme="minorHAnsi" w:hAnsiTheme="minorHAnsi" w:cstheme="minorHAnsi"/>
          <w:color w:val="000000"/>
        </w:rPr>
        <w:t>can be followed up with DPER through the contact channels set out at paragraph 2</w:t>
      </w:r>
      <w:r w:rsidR="009A522C">
        <w:rPr>
          <w:rFonts w:asciiTheme="minorHAnsi" w:hAnsiTheme="minorHAnsi" w:cstheme="minorHAnsi"/>
          <w:color w:val="000000"/>
        </w:rPr>
        <w:t>1</w:t>
      </w:r>
      <w:r>
        <w:rPr>
          <w:rFonts w:asciiTheme="minorHAnsi" w:hAnsiTheme="minorHAnsi" w:cstheme="minorHAnsi"/>
          <w:color w:val="000000"/>
        </w:rPr>
        <w:t xml:space="preserve"> of </w:t>
      </w:r>
      <w:r w:rsidR="00113212">
        <w:rPr>
          <w:rFonts w:asciiTheme="minorHAnsi" w:hAnsiTheme="minorHAnsi" w:cstheme="minorHAnsi"/>
          <w:color w:val="000000"/>
        </w:rPr>
        <w:t>the</w:t>
      </w:r>
      <w:r>
        <w:rPr>
          <w:rFonts w:asciiTheme="minorHAnsi" w:hAnsiTheme="minorHAnsi" w:cstheme="minorHAnsi"/>
          <w:color w:val="000000"/>
        </w:rPr>
        <w:t xml:space="preserve"> circular. </w:t>
      </w:r>
    </w:p>
    <w:p w:rsidR="001C5DE0" w:rsidRPr="00102FB4" w:rsidRDefault="001C5DE0" w:rsidP="00102FB4">
      <w:pPr>
        <w:jc w:val="both"/>
        <w:rPr>
          <w:rFonts w:asciiTheme="minorHAnsi" w:hAnsiTheme="minorHAnsi" w:cstheme="minorHAnsi"/>
          <w:color w:val="000000"/>
        </w:rPr>
      </w:pPr>
    </w:p>
    <w:sectPr w:rsidR="001C5DE0" w:rsidRPr="00102FB4" w:rsidSect="000E5C8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27" w:rsidRDefault="00647A27" w:rsidP="00B13D60">
      <w:r>
        <w:separator/>
      </w:r>
    </w:p>
  </w:endnote>
  <w:endnote w:type="continuationSeparator" w:id="0">
    <w:p w:rsidR="00647A27" w:rsidRDefault="00647A27" w:rsidP="00B1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27" w:rsidRDefault="00647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27" w:rsidRDefault="00647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27" w:rsidRDefault="0064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27" w:rsidRDefault="00647A27" w:rsidP="00B13D60">
      <w:r>
        <w:separator/>
      </w:r>
    </w:p>
  </w:footnote>
  <w:footnote w:type="continuationSeparator" w:id="0">
    <w:p w:rsidR="00647A27" w:rsidRDefault="00647A27" w:rsidP="00B13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27" w:rsidRDefault="0064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27" w:rsidRDefault="00647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27" w:rsidRDefault="0064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04F"/>
    <w:multiLevelType w:val="hybridMultilevel"/>
    <w:tmpl w:val="E8DA6FF8"/>
    <w:lvl w:ilvl="0" w:tplc="661A8AB2">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8D3044"/>
    <w:multiLevelType w:val="hybridMultilevel"/>
    <w:tmpl w:val="D332C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D8457A"/>
    <w:multiLevelType w:val="hybridMultilevel"/>
    <w:tmpl w:val="31E0D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A40EBB"/>
    <w:multiLevelType w:val="hybridMultilevel"/>
    <w:tmpl w:val="7C7ACDD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BB7E19"/>
    <w:multiLevelType w:val="hybridMultilevel"/>
    <w:tmpl w:val="57607CA2"/>
    <w:lvl w:ilvl="0" w:tplc="661A8AB2">
      <w:start w:val="1"/>
      <w:numFmt w:val="lowerLetter"/>
      <w:lvlText w:val="(%1)"/>
      <w:lvlJc w:val="left"/>
      <w:pPr>
        <w:ind w:left="720" w:hanging="360"/>
      </w:pPr>
      <w:rPr>
        <w:rFonts w:hint="default"/>
        <w:b w:val="0"/>
      </w:rPr>
    </w:lvl>
    <w:lvl w:ilvl="1" w:tplc="661A8AB2">
      <w:start w:val="1"/>
      <w:numFmt w:val="lowerLetter"/>
      <w:lvlText w:val="(%2)"/>
      <w:lvlJc w:val="left"/>
      <w:pPr>
        <w:ind w:left="1440" w:hanging="360"/>
      </w:pPr>
      <w:rPr>
        <w:rFonts w:hint="default"/>
        <w:b w:val="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1F55BC3"/>
    <w:multiLevelType w:val="hybridMultilevel"/>
    <w:tmpl w:val="181ADB1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2112B2B"/>
    <w:multiLevelType w:val="hybridMultilevel"/>
    <w:tmpl w:val="31169AFA"/>
    <w:lvl w:ilvl="0" w:tplc="18090017">
      <w:start w:val="1"/>
      <w:numFmt w:val="lowerLetter"/>
      <w:lvlText w:val="%1)"/>
      <w:lvlJc w:val="left"/>
      <w:pPr>
        <w:ind w:left="720" w:hanging="360"/>
      </w:pPr>
    </w:lvl>
    <w:lvl w:ilvl="1" w:tplc="D9EA9E00">
      <w:start w:val="1"/>
      <w:numFmt w:val="lowerLetter"/>
      <w:lvlText w:val="%2)"/>
      <w:lvlJc w:val="left"/>
      <w:pPr>
        <w:ind w:left="1440" w:hanging="360"/>
      </w:pPr>
      <w:rPr>
        <w:b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61F37FF"/>
    <w:multiLevelType w:val="hybridMultilevel"/>
    <w:tmpl w:val="D49E2F2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A34340"/>
    <w:multiLevelType w:val="multilevel"/>
    <w:tmpl w:val="5FF0F4F6"/>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9">
    <w:nsid w:val="27FB7FBE"/>
    <w:multiLevelType w:val="hybridMultilevel"/>
    <w:tmpl w:val="04021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DA5561"/>
    <w:multiLevelType w:val="hybridMultilevel"/>
    <w:tmpl w:val="4AC2874A"/>
    <w:lvl w:ilvl="0" w:tplc="661A8AB2">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0977E4"/>
    <w:multiLevelType w:val="hybridMultilevel"/>
    <w:tmpl w:val="89E82170"/>
    <w:lvl w:ilvl="0" w:tplc="3988803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3E5079F"/>
    <w:multiLevelType w:val="hybridMultilevel"/>
    <w:tmpl w:val="033EC71A"/>
    <w:lvl w:ilvl="0" w:tplc="661A8AB2">
      <w:start w:val="1"/>
      <w:numFmt w:val="lowerLetter"/>
      <w:lvlText w:val="(%1)"/>
      <w:lvlJc w:val="left"/>
      <w:pPr>
        <w:ind w:left="720" w:hanging="360"/>
      </w:pPr>
      <w:rPr>
        <w:rFonts w:hint="default"/>
        <w:b w:val="0"/>
      </w:rPr>
    </w:lvl>
    <w:lvl w:ilvl="1" w:tplc="661A8AB2">
      <w:start w:val="1"/>
      <w:numFmt w:val="lowerLetter"/>
      <w:lvlText w:val="(%2)"/>
      <w:lvlJc w:val="left"/>
      <w:pPr>
        <w:ind w:left="1440" w:hanging="360"/>
      </w:pPr>
      <w:rPr>
        <w:rFonts w:hint="default"/>
        <w:b w:val="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0426981"/>
    <w:multiLevelType w:val="hybridMultilevel"/>
    <w:tmpl w:val="821CF132"/>
    <w:lvl w:ilvl="0" w:tplc="661A8AB2">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B14E4B"/>
    <w:multiLevelType w:val="hybridMultilevel"/>
    <w:tmpl w:val="B2785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754B6C"/>
    <w:multiLevelType w:val="hybridMultilevel"/>
    <w:tmpl w:val="473C17F4"/>
    <w:lvl w:ilvl="0" w:tplc="661A8AB2">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0EE57B4"/>
    <w:multiLevelType w:val="hybridMultilevel"/>
    <w:tmpl w:val="B98806CC"/>
    <w:lvl w:ilvl="0" w:tplc="3988803A">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7A150F3"/>
    <w:multiLevelType w:val="hybridMultilevel"/>
    <w:tmpl w:val="60749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E977266"/>
    <w:multiLevelType w:val="hybridMultilevel"/>
    <w:tmpl w:val="00622CD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6"/>
  </w:num>
  <w:num w:numId="5">
    <w:abstractNumId w:val="11"/>
  </w:num>
  <w:num w:numId="6">
    <w:abstractNumId w:val="14"/>
  </w:num>
  <w:num w:numId="7">
    <w:abstractNumId w:val="1"/>
  </w:num>
  <w:num w:numId="8">
    <w:abstractNumId w:val="2"/>
  </w:num>
  <w:num w:numId="9">
    <w:abstractNumId w:val="18"/>
  </w:num>
  <w:num w:numId="10">
    <w:abstractNumId w:val="6"/>
  </w:num>
  <w:num w:numId="11">
    <w:abstractNumId w:val="13"/>
  </w:num>
  <w:num w:numId="12">
    <w:abstractNumId w:val="10"/>
  </w:num>
  <w:num w:numId="13">
    <w:abstractNumId w:val="0"/>
  </w:num>
  <w:num w:numId="14">
    <w:abstractNumId w:val="12"/>
  </w:num>
  <w:num w:numId="15">
    <w:abstractNumId w:val="4"/>
  </w:num>
  <w:num w:numId="16">
    <w:abstractNumId w:val="7"/>
  </w:num>
  <w:num w:numId="17">
    <w:abstractNumId w:val="5"/>
  </w:num>
  <w:num w:numId="18">
    <w:abstractNumId w:val="3"/>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E"/>
    <w:rsid w:val="0000410E"/>
    <w:rsid w:val="00006FDD"/>
    <w:rsid w:val="0001000B"/>
    <w:rsid w:val="00011097"/>
    <w:rsid w:val="00013C75"/>
    <w:rsid w:val="00014FA7"/>
    <w:rsid w:val="000223A8"/>
    <w:rsid w:val="000236A2"/>
    <w:rsid w:val="00024F7C"/>
    <w:rsid w:val="000350C0"/>
    <w:rsid w:val="00041003"/>
    <w:rsid w:val="00042B01"/>
    <w:rsid w:val="00043409"/>
    <w:rsid w:val="00050716"/>
    <w:rsid w:val="0005412F"/>
    <w:rsid w:val="000557BB"/>
    <w:rsid w:val="0006479F"/>
    <w:rsid w:val="00065FB5"/>
    <w:rsid w:val="000675C8"/>
    <w:rsid w:val="000719FA"/>
    <w:rsid w:val="00074BAE"/>
    <w:rsid w:val="00081C9F"/>
    <w:rsid w:val="00090B1B"/>
    <w:rsid w:val="00095CE8"/>
    <w:rsid w:val="00095F09"/>
    <w:rsid w:val="000A49A1"/>
    <w:rsid w:val="000A668C"/>
    <w:rsid w:val="000B4DF4"/>
    <w:rsid w:val="000B4EA3"/>
    <w:rsid w:val="000B4F9A"/>
    <w:rsid w:val="000C4D19"/>
    <w:rsid w:val="000D2C42"/>
    <w:rsid w:val="000D4072"/>
    <w:rsid w:val="000D5F44"/>
    <w:rsid w:val="000E1231"/>
    <w:rsid w:val="000E5C81"/>
    <w:rsid w:val="000F2010"/>
    <w:rsid w:val="000F2C83"/>
    <w:rsid w:val="000F592C"/>
    <w:rsid w:val="00101CF6"/>
    <w:rsid w:val="00102FB4"/>
    <w:rsid w:val="00103AD8"/>
    <w:rsid w:val="0010422A"/>
    <w:rsid w:val="00104CE7"/>
    <w:rsid w:val="00113212"/>
    <w:rsid w:val="00114613"/>
    <w:rsid w:val="00117755"/>
    <w:rsid w:val="001179D5"/>
    <w:rsid w:val="00120C98"/>
    <w:rsid w:val="00120F34"/>
    <w:rsid w:val="00121F61"/>
    <w:rsid w:val="0012234A"/>
    <w:rsid w:val="001231D2"/>
    <w:rsid w:val="00124066"/>
    <w:rsid w:val="001256DB"/>
    <w:rsid w:val="00130B20"/>
    <w:rsid w:val="00132EDE"/>
    <w:rsid w:val="00133E44"/>
    <w:rsid w:val="00137C81"/>
    <w:rsid w:val="00140305"/>
    <w:rsid w:val="00142D56"/>
    <w:rsid w:val="00143E5E"/>
    <w:rsid w:val="0014510D"/>
    <w:rsid w:val="0014533E"/>
    <w:rsid w:val="0015252F"/>
    <w:rsid w:val="00152720"/>
    <w:rsid w:val="001533BB"/>
    <w:rsid w:val="001676E3"/>
    <w:rsid w:val="00170BCA"/>
    <w:rsid w:val="00175673"/>
    <w:rsid w:val="00176668"/>
    <w:rsid w:val="0017689A"/>
    <w:rsid w:val="00182CD8"/>
    <w:rsid w:val="001849C1"/>
    <w:rsid w:val="00186284"/>
    <w:rsid w:val="001906A5"/>
    <w:rsid w:val="00192D5B"/>
    <w:rsid w:val="00196A2A"/>
    <w:rsid w:val="001A2F93"/>
    <w:rsid w:val="001A59D9"/>
    <w:rsid w:val="001A76B8"/>
    <w:rsid w:val="001B16D2"/>
    <w:rsid w:val="001B606F"/>
    <w:rsid w:val="001B7CFE"/>
    <w:rsid w:val="001C1A8F"/>
    <w:rsid w:val="001C5DE0"/>
    <w:rsid w:val="001C77EA"/>
    <w:rsid w:val="001C7E5C"/>
    <w:rsid w:val="001E16C9"/>
    <w:rsid w:val="001E2B59"/>
    <w:rsid w:val="001E6D82"/>
    <w:rsid w:val="001E7E76"/>
    <w:rsid w:val="001F0FF5"/>
    <w:rsid w:val="001F2002"/>
    <w:rsid w:val="001F2347"/>
    <w:rsid w:val="001F5632"/>
    <w:rsid w:val="001F7EA2"/>
    <w:rsid w:val="0020047E"/>
    <w:rsid w:val="002035FD"/>
    <w:rsid w:val="0020724A"/>
    <w:rsid w:val="0021566D"/>
    <w:rsid w:val="002158DB"/>
    <w:rsid w:val="0021694F"/>
    <w:rsid w:val="002224E5"/>
    <w:rsid w:val="002228EB"/>
    <w:rsid w:val="0022450D"/>
    <w:rsid w:val="0023326F"/>
    <w:rsid w:val="0023329B"/>
    <w:rsid w:val="00235EE0"/>
    <w:rsid w:val="00241DB7"/>
    <w:rsid w:val="002458C2"/>
    <w:rsid w:val="00247BD7"/>
    <w:rsid w:val="00253412"/>
    <w:rsid w:val="0025609E"/>
    <w:rsid w:val="00260650"/>
    <w:rsid w:val="002622A6"/>
    <w:rsid w:val="00263217"/>
    <w:rsid w:val="0026398A"/>
    <w:rsid w:val="00265134"/>
    <w:rsid w:val="00270371"/>
    <w:rsid w:val="00272241"/>
    <w:rsid w:val="00273B43"/>
    <w:rsid w:val="002804D7"/>
    <w:rsid w:val="00282152"/>
    <w:rsid w:val="00286176"/>
    <w:rsid w:val="00287881"/>
    <w:rsid w:val="0029020F"/>
    <w:rsid w:val="002939EE"/>
    <w:rsid w:val="002A021C"/>
    <w:rsid w:val="002A1890"/>
    <w:rsid w:val="002A71F0"/>
    <w:rsid w:val="002B294E"/>
    <w:rsid w:val="002B47D1"/>
    <w:rsid w:val="002B5A82"/>
    <w:rsid w:val="002C29B1"/>
    <w:rsid w:val="002D1A3F"/>
    <w:rsid w:val="002D4726"/>
    <w:rsid w:val="002E0A13"/>
    <w:rsid w:val="002E634D"/>
    <w:rsid w:val="002E6EE5"/>
    <w:rsid w:val="002F5031"/>
    <w:rsid w:val="00304F2E"/>
    <w:rsid w:val="00321D7A"/>
    <w:rsid w:val="00327F28"/>
    <w:rsid w:val="00331F34"/>
    <w:rsid w:val="00334388"/>
    <w:rsid w:val="00334407"/>
    <w:rsid w:val="00337377"/>
    <w:rsid w:val="003422A0"/>
    <w:rsid w:val="0034509E"/>
    <w:rsid w:val="00346B74"/>
    <w:rsid w:val="00350EAE"/>
    <w:rsid w:val="003613FF"/>
    <w:rsid w:val="003703EB"/>
    <w:rsid w:val="00376723"/>
    <w:rsid w:val="00376E56"/>
    <w:rsid w:val="003811FB"/>
    <w:rsid w:val="0038478B"/>
    <w:rsid w:val="00384E7E"/>
    <w:rsid w:val="00390DD8"/>
    <w:rsid w:val="003979D7"/>
    <w:rsid w:val="003A21BF"/>
    <w:rsid w:val="003B14E0"/>
    <w:rsid w:val="003B5DE8"/>
    <w:rsid w:val="003B64FD"/>
    <w:rsid w:val="003B720E"/>
    <w:rsid w:val="003B79C7"/>
    <w:rsid w:val="003C1E6B"/>
    <w:rsid w:val="003C5973"/>
    <w:rsid w:val="003D2F0A"/>
    <w:rsid w:val="003D3800"/>
    <w:rsid w:val="003D722C"/>
    <w:rsid w:val="003E27DF"/>
    <w:rsid w:val="003E3DFC"/>
    <w:rsid w:val="003E4DE2"/>
    <w:rsid w:val="003F096F"/>
    <w:rsid w:val="003F455F"/>
    <w:rsid w:val="003F5266"/>
    <w:rsid w:val="00411887"/>
    <w:rsid w:val="00415676"/>
    <w:rsid w:val="00416308"/>
    <w:rsid w:val="00426194"/>
    <w:rsid w:val="0042723E"/>
    <w:rsid w:val="00442C98"/>
    <w:rsid w:val="00444C69"/>
    <w:rsid w:val="00445D06"/>
    <w:rsid w:val="00446734"/>
    <w:rsid w:val="00447D17"/>
    <w:rsid w:val="00450889"/>
    <w:rsid w:val="00450E3B"/>
    <w:rsid w:val="00451963"/>
    <w:rsid w:val="00453527"/>
    <w:rsid w:val="00455349"/>
    <w:rsid w:val="00455B1C"/>
    <w:rsid w:val="00455EDC"/>
    <w:rsid w:val="0045641E"/>
    <w:rsid w:val="004568FE"/>
    <w:rsid w:val="00457144"/>
    <w:rsid w:val="00457D4D"/>
    <w:rsid w:val="00462696"/>
    <w:rsid w:val="00462961"/>
    <w:rsid w:val="00464ADC"/>
    <w:rsid w:val="004710AE"/>
    <w:rsid w:val="0047160F"/>
    <w:rsid w:val="00472518"/>
    <w:rsid w:val="00477F2D"/>
    <w:rsid w:val="00481352"/>
    <w:rsid w:val="004A0F62"/>
    <w:rsid w:val="004A20B1"/>
    <w:rsid w:val="004A41A4"/>
    <w:rsid w:val="004B4493"/>
    <w:rsid w:val="004B51B2"/>
    <w:rsid w:val="004B6297"/>
    <w:rsid w:val="004C1661"/>
    <w:rsid w:val="004C2118"/>
    <w:rsid w:val="004C2D98"/>
    <w:rsid w:val="004C430B"/>
    <w:rsid w:val="004C5BEF"/>
    <w:rsid w:val="004C5DD1"/>
    <w:rsid w:val="004C625A"/>
    <w:rsid w:val="004C653A"/>
    <w:rsid w:val="004C7192"/>
    <w:rsid w:val="004C7B09"/>
    <w:rsid w:val="004D02B1"/>
    <w:rsid w:val="004D61D4"/>
    <w:rsid w:val="004E25E9"/>
    <w:rsid w:val="004E3038"/>
    <w:rsid w:val="004F38A5"/>
    <w:rsid w:val="005059BC"/>
    <w:rsid w:val="00505C2D"/>
    <w:rsid w:val="00513AF7"/>
    <w:rsid w:val="00520A12"/>
    <w:rsid w:val="00523383"/>
    <w:rsid w:val="00525B99"/>
    <w:rsid w:val="00527A69"/>
    <w:rsid w:val="0053327E"/>
    <w:rsid w:val="005370E2"/>
    <w:rsid w:val="00537383"/>
    <w:rsid w:val="00541AE7"/>
    <w:rsid w:val="00543CA3"/>
    <w:rsid w:val="00543FF1"/>
    <w:rsid w:val="00547350"/>
    <w:rsid w:val="00550A7B"/>
    <w:rsid w:val="00554B53"/>
    <w:rsid w:val="00555B2F"/>
    <w:rsid w:val="0056067B"/>
    <w:rsid w:val="00562B7E"/>
    <w:rsid w:val="00565D5B"/>
    <w:rsid w:val="00565E78"/>
    <w:rsid w:val="005666ED"/>
    <w:rsid w:val="00566E42"/>
    <w:rsid w:val="005670FA"/>
    <w:rsid w:val="0057690E"/>
    <w:rsid w:val="00576AA9"/>
    <w:rsid w:val="00586BB6"/>
    <w:rsid w:val="00594C8A"/>
    <w:rsid w:val="0059768F"/>
    <w:rsid w:val="00597CB3"/>
    <w:rsid w:val="005A2C3C"/>
    <w:rsid w:val="005A2D20"/>
    <w:rsid w:val="005A3EEB"/>
    <w:rsid w:val="005A5D40"/>
    <w:rsid w:val="005A6983"/>
    <w:rsid w:val="005A7C66"/>
    <w:rsid w:val="005B5979"/>
    <w:rsid w:val="005B5DB5"/>
    <w:rsid w:val="005B607E"/>
    <w:rsid w:val="005B746E"/>
    <w:rsid w:val="005C12F9"/>
    <w:rsid w:val="005C2FC6"/>
    <w:rsid w:val="005C4857"/>
    <w:rsid w:val="005C5EA7"/>
    <w:rsid w:val="005C72E3"/>
    <w:rsid w:val="005D30F8"/>
    <w:rsid w:val="005D46C2"/>
    <w:rsid w:val="005E2E71"/>
    <w:rsid w:val="005E33EF"/>
    <w:rsid w:val="005E5AE8"/>
    <w:rsid w:val="005E64F2"/>
    <w:rsid w:val="005E79A9"/>
    <w:rsid w:val="005F25D8"/>
    <w:rsid w:val="005F3B10"/>
    <w:rsid w:val="005F4CC5"/>
    <w:rsid w:val="00600FE6"/>
    <w:rsid w:val="00602FD0"/>
    <w:rsid w:val="0060461C"/>
    <w:rsid w:val="00604BCD"/>
    <w:rsid w:val="00606147"/>
    <w:rsid w:val="006069A5"/>
    <w:rsid w:val="00607730"/>
    <w:rsid w:val="00614359"/>
    <w:rsid w:val="00614436"/>
    <w:rsid w:val="006178D0"/>
    <w:rsid w:val="00621957"/>
    <w:rsid w:val="00624FC8"/>
    <w:rsid w:val="00640699"/>
    <w:rsid w:val="006426FF"/>
    <w:rsid w:val="006428DC"/>
    <w:rsid w:val="00646FC7"/>
    <w:rsid w:val="00647A27"/>
    <w:rsid w:val="00651E2C"/>
    <w:rsid w:val="00654CD5"/>
    <w:rsid w:val="00657889"/>
    <w:rsid w:val="00660498"/>
    <w:rsid w:val="006607F7"/>
    <w:rsid w:val="00662188"/>
    <w:rsid w:val="00664523"/>
    <w:rsid w:val="00670EA7"/>
    <w:rsid w:val="00675C15"/>
    <w:rsid w:val="006769C2"/>
    <w:rsid w:val="00687C0D"/>
    <w:rsid w:val="006933E8"/>
    <w:rsid w:val="00697193"/>
    <w:rsid w:val="006A14C5"/>
    <w:rsid w:val="006A3013"/>
    <w:rsid w:val="006B3AF1"/>
    <w:rsid w:val="006B460C"/>
    <w:rsid w:val="006B6256"/>
    <w:rsid w:val="006C4626"/>
    <w:rsid w:val="006C4767"/>
    <w:rsid w:val="006C77E2"/>
    <w:rsid w:val="006D28EA"/>
    <w:rsid w:val="006D51E0"/>
    <w:rsid w:val="006D604E"/>
    <w:rsid w:val="006D6EDB"/>
    <w:rsid w:val="006E51FC"/>
    <w:rsid w:val="006E52D3"/>
    <w:rsid w:val="006E6EBF"/>
    <w:rsid w:val="006E7BAD"/>
    <w:rsid w:val="006F1F40"/>
    <w:rsid w:val="006F32D3"/>
    <w:rsid w:val="00700D72"/>
    <w:rsid w:val="007031E0"/>
    <w:rsid w:val="0070509E"/>
    <w:rsid w:val="00712683"/>
    <w:rsid w:val="00713FD7"/>
    <w:rsid w:val="007261F4"/>
    <w:rsid w:val="0072740F"/>
    <w:rsid w:val="00727699"/>
    <w:rsid w:val="00727C64"/>
    <w:rsid w:val="00730B34"/>
    <w:rsid w:val="00734421"/>
    <w:rsid w:val="007354C0"/>
    <w:rsid w:val="00740D9F"/>
    <w:rsid w:val="00745F8A"/>
    <w:rsid w:val="00746D2F"/>
    <w:rsid w:val="00751371"/>
    <w:rsid w:val="0075170C"/>
    <w:rsid w:val="0075227A"/>
    <w:rsid w:val="00752945"/>
    <w:rsid w:val="00752E00"/>
    <w:rsid w:val="00753141"/>
    <w:rsid w:val="00753C58"/>
    <w:rsid w:val="00760DFE"/>
    <w:rsid w:val="00766E1C"/>
    <w:rsid w:val="007670CC"/>
    <w:rsid w:val="0076776C"/>
    <w:rsid w:val="00782A29"/>
    <w:rsid w:val="00783693"/>
    <w:rsid w:val="00784517"/>
    <w:rsid w:val="00786518"/>
    <w:rsid w:val="00791AAA"/>
    <w:rsid w:val="007922A0"/>
    <w:rsid w:val="00795C92"/>
    <w:rsid w:val="00795D2C"/>
    <w:rsid w:val="00797E74"/>
    <w:rsid w:val="007B0164"/>
    <w:rsid w:val="007B0674"/>
    <w:rsid w:val="007B302C"/>
    <w:rsid w:val="007B4901"/>
    <w:rsid w:val="007B4A23"/>
    <w:rsid w:val="007C3099"/>
    <w:rsid w:val="007C6875"/>
    <w:rsid w:val="007C7A3B"/>
    <w:rsid w:val="007D203D"/>
    <w:rsid w:val="007D6550"/>
    <w:rsid w:val="007E59C5"/>
    <w:rsid w:val="007F3656"/>
    <w:rsid w:val="007F7964"/>
    <w:rsid w:val="008002AC"/>
    <w:rsid w:val="00802C77"/>
    <w:rsid w:val="00803A28"/>
    <w:rsid w:val="00806E01"/>
    <w:rsid w:val="008107B8"/>
    <w:rsid w:val="00810F36"/>
    <w:rsid w:val="00811E5E"/>
    <w:rsid w:val="00813FBA"/>
    <w:rsid w:val="00814681"/>
    <w:rsid w:val="00815301"/>
    <w:rsid w:val="008156EE"/>
    <w:rsid w:val="00817331"/>
    <w:rsid w:val="008207C4"/>
    <w:rsid w:val="00822F86"/>
    <w:rsid w:val="0082542B"/>
    <w:rsid w:val="00827EE7"/>
    <w:rsid w:val="00833E88"/>
    <w:rsid w:val="008356E4"/>
    <w:rsid w:val="0083585B"/>
    <w:rsid w:val="00836247"/>
    <w:rsid w:val="008444BB"/>
    <w:rsid w:val="0084668D"/>
    <w:rsid w:val="008469B6"/>
    <w:rsid w:val="00853925"/>
    <w:rsid w:val="00861943"/>
    <w:rsid w:val="00862E55"/>
    <w:rsid w:val="00871185"/>
    <w:rsid w:val="00872845"/>
    <w:rsid w:val="00874E55"/>
    <w:rsid w:val="00875A19"/>
    <w:rsid w:val="00876E8D"/>
    <w:rsid w:val="0088291D"/>
    <w:rsid w:val="008829C6"/>
    <w:rsid w:val="008842FE"/>
    <w:rsid w:val="00884525"/>
    <w:rsid w:val="00885071"/>
    <w:rsid w:val="00885D0A"/>
    <w:rsid w:val="008866E6"/>
    <w:rsid w:val="008938C9"/>
    <w:rsid w:val="008947D9"/>
    <w:rsid w:val="00894F9B"/>
    <w:rsid w:val="00895CFB"/>
    <w:rsid w:val="00897238"/>
    <w:rsid w:val="0089737E"/>
    <w:rsid w:val="008C1D11"/>
    <w:rsid w:val="008C4BD8"/>
    <w:rsid w:val="008D3981"/>
    <w:rsid w:val="008D5AFF"/>
    <w:rsid w:val="008D5F1F"/>
    <w:rsid w:val="008E295E"/>
    <w:rsid w:val="008E3779"/>
    <w:rsid w:val="00902338"/>
    <w:rsid w:val="00902D47"/>
    <w:rsid w:val="009104CF"/>
    <w:rsid w:val="0091078F"/>
    <w:rsid w:val="00914A3C"/>
    <w:rsid w:val="00922092"/>
    <w:rsid w:val="009233BB"/>
    <w:rsid w:val="009254B2"/>
    <w:rsid w:val="00930B52"/>
    <w:rsid w:val="009340F1"/>
    <w:rsid w:val="00936553"/>
    <w:rsid w:val="0094032F"/>
    <w:rsid w:val="00940342"/>
    <w:rsid w:val="00940FD5"/>
    <w:rsid w:val="00941A52"/>
    <w:rsid w:val="00942DA2"/>
    <w:rsid w:val="00945422"/>
    <w:rsid w:val="00945DD0"/>
    <w:rsid w:val="00954334"/>
    <w:rsid w:val="00955F13"/>
    <w:rsid w:val="00970B9E"/>
    <w:rsid w:val="00970F00"/>
    <w:rsid w:val="009741C4"/>
    <w:rsid w:val="00987FFC"/>
    <w:rsid w:val="0099002C"/>
    <w:rsid w:val="0099511D"/>
    <w:rsid w:val="009A4587"/>
    <w:rsid w:val="009A4973"/>
    <w:rsid w:val="009A4F28"/>
    <w:rsid w:val="009A522C"/>
    <w:rsid w:val="009A77BF"/>
    <w:rsid w:val="009B2646"/>
    <w:rsid w:val="009C0B9E"/>
    <w:rsid w:val="009D72AE"/>
    <w:rsid w:val="009E0C7D"/>
    <w:rsid w:val="009E4DEC"/>
    <w:rsid w:val="009E4FD2"/>
    <w:rsid w:val="009F47E2"/>
    <w:rsid w:val="009F57E5"/>
    <w:rsid w:val="009F5B91"/>
    <w:rsid w:val="009F5BD4"/>
    <w:rsid w:val="009F7126"/>
    <w:rsid w:val="00A057FE"/>
    <w:rsid w:val="00A05C24"/>
    <w:rsid w:val="00A119AF"/>
    <w:rsid w:val="00A16602"/>
    <w:rsid w:val="00A2034C"/>
    <w:rsid w:val="00A208EB"/>
    <w:rsid w:val="00A21535"/>
    <w:rsid w:val="00A23C1D"/>
    <w:rsid w:val="00A242F9"/>
    <w:rsid w:val="00A25A35"/>
    <w:rsid w:val="00A2642D"/>
    <w:rsid w:val="00A32652"/>
    <w:rsid w:val="00A33D8D"/>
    <w:rsid w:val="00A3428A"/>
    <w:rsid w:val="00A411A2"/>
    <w:rsid w:val="00A430FE"/>
    <w:rsid w:val="00A44A38"/>
    <w:rsid w:val="00A564CB"/>
    <w:rsid w:val="00A574AA"/>
    <w:rsid w:val="00A62313"/>
    <w:rsid w:val="00A64776"/>
    <w:rsid w:val="00A65970"/>
    <w:rsid w:val="00A70A43"/>
    <w:rsid w:val="00A70F40"/>
    <w:rsid w:val="00A71948"/>
    <w:rsid w:val="00A746B0"/>
    <w:rsid w:val="00A760B6"/>
    <w:rsid w:val="00A80BFE"/>
    <w:rsid w:val="00A82AD3"/>
    <w:rsid w:val="00A832D1"/>
    <w:rsid w:val="00A837D0"/>
    <w:rsid w:val="00A8624E"/>
    <w:rsid w:val="00A86B15"/>
    <w:rsid w:val="00A917F1"/>
    <w:rsid w:val="00A93FD0"/>
    <w:rsid w:val="00A95941"/>
    <w:rsid w:val="00A95B3A"/>
    <w:rsid w:val="00A95BA5"/>
    <w:rsid w:val="00AA3D64"/>
    <w:rsid w:val="00AA6F2B"/>
    <w:rsid w:val="00AA7EA5"/>
    <w:rsid w:val="00AB656E"/>
    <w:rsid w:val="00AC1266"/>
    <w:rsid w:val="00AC152C"/>
    <w:rsid w:val="00AC228D"/>
    <w:rsid w:val="00AC60AF"/>
    <w:rsid w:val="00AD1F78"/>
    <w:rsid w:val="00AD2267"/>
    <w:rsid w:val="00AD3A84"/>
    <w:rsid w:val="00AE00D3"/>
    <w:rsid w:val="00AE0C56"/>
    <w:rsid w:val="00AE2B42"/>
    <w:rsid w:val="00AE6D23"/>
    <w:rsid w:val="00AF032F"/>
    <w:rsid w:val="00AF4B39"/>
    <w:rsid w:val="00AF4F6B"/>
    <w:rsid w:val="00AF50E6"/>
    <w:rsid w:val="00B10446"/>
    <w:rsid w:val="00B12B0A"/>
    <w:rsid w:val="00B13D60"/>
    <w:rsid w:val="00B1739B"/>
    <w:rsid w:val="00B17FBB"/>
    <w:rsid w:val="00B201C9"/>
    <w:rsid w:val="00B21459"/>
    <w:rsid w:val="00B220E8"/>
    <w:rsid w:val="00B3075E"/>
    <w:rsid w:val="00B30B18"/>
    <w:rsid w:val="00B31858"/>
    <w:rsid w:val="00B3751E"/>
    <w:rsid w:val="00B37811"/>
    <w:rsid w:val="00B37B69"/>
    <w:rsid w:val="00B37DD7"/>
    <w:rsid w:val="00B4367A"/>
    <w:rsid w:val="00B43EEE"/>
    <w:rsid w:val="00B4523D"/>
    <w:rsid w:val="00B4770D"/>
    <w:rsid w:val="00B5035A"/>
    <w:rsid w:val="00B51C85"/>
    <w:rsid w:val="00B63559"/>
    <w:rsid w:val="00B65341"/>
    <w:rsid w:val="00B70910"/>
    <w:rsid w:val="00B73195"/>
    <w:rsid w:val="00B7495D"/>
    <w:rsid w:val="00B770C5"/>
    <w:rsid w:val="00B82E16"/>
    <w:rsid w:val="00B85866"/>
    <w:rsid w:val="00B87E07"/>
    <w:rsid w:val="00B93623"/>
    <w:rsid w:val="00B97151"/>
    <w:rsid w:val="00BA2623"/>
    <w:rsid w:val="00BA5AFF"/>
    <w:rsid w:val="00BA675B"/>
    <w:rsid w:val="00BB12C1"/>
    <w:rsid w:val="00BB2DFD"/>
    <w:rsid w:val="00BB3EA8"/>
    <w:rsid w:val="00BC16A6"/>
    <w:rsid w:val="00BC4714"/>
    <w:rsid w:val="00BC5428"/>
    <w:rsid w:val="00BD4CD6"/>
    <w:rsid w:val="00BD5085"/>
    <w:rsid w:val="00BD7473"/>
    <w:rsid w:val="00BE3B19"/>
    <w:rsid w:val="00BE7560"/>
    <w:rsid w:val="00BF73BE"/>
    <w:rsid w:val="00C05BF3"/>
    <w:rsid w:val="00C14074"/>
    <w:rsid w:val="00C151F2"/>
    <w:rsid w:val="00C17D60"/>
    <w:rsid w:val="00C227B9"/>
    <w:rsid w:val="00C27F83"/>
    <w:rsid w:val="00C30B37"/>
    <w:rsid w:val="00C311E5"/>
    <w:rsid w:val="00C32AFB"/>
    <w:rsid w:val="00C55755"/>
    <w:rsid w:val="00C5597F"/>
    <w:rsid w:val="00C57385"/>
    <w:rsid w:val="00C578D0"/>
    <w:rsid w:val="00C64643"/>
    <w:rsid w:val="00C66E0C"/>
    <w:rsid w:val="00C7436F"/>
    <w:rsid w:val="00C7746F"/>
    <w:rsid w:val="00C8021F"/>
    <w:rsid w:val="00C84EA1"/>
    <w:rsid w:val="00C96200"/>
    <w:rsid w:val="00CA5EF2"/>
    <w:rsid w:val="00CB0C0A"/>
    <w:rsid w:val="00CC3546"/>
    <w:rsid w:val="00CC3EA0"/>
    <w:rsid w:val="00CC4A01"/>
    <w:rsid w:val="00CC55C6"/>
    <w:rsid w:val="00CD2F50"/>
    <w:rsid w:val="00CD46CE"/>
    <w:rsid w:val="00CD5A23"/>
    <w:rsid w:val="00CE14AD"/>
    <w:rsid w:val="00CE4231"/>
    <w:rsid w:val="00CF3D3C"/>
    <w:rsid w:val="00CF4320"/>
    <w:rsid w:val="00D11310"/>
    <w:rsid w:val="00D143FA"/>
    <w:rsid w:val="00D1472E"/>
    <w:rsid w:val="00D159B8"/>
    <w:rsid w:val="00D16E05"/>
    <w:rsid w:val="00D20B1A"/>
    <w:rsid w:val="00D23FA8"/>
    <w:rsid w:val="00D27898"/>
    <w:rsid w:val="00D3017F"/>
    <w:rsid w:val="00D30EE8"/>
    <w:rsid w:val="00D318F4"/>
    <w:rsid w:val="00D42F71"/>
    <w:rsid w:val="00D465B7"/>
    <w:rsid w:val="00D50742"/>
    <w:rsid w:val="00D53D38"/>
    <w:rsid w:val="00D54E67"/>
    <w:rsid w:val="00D568FF"/>
    <w:rsid w:val="00D625BD"/>
    <w:rsid w:val="00D652AB"/>
    <w:rsid w:val="00D67B09"/>
    <w:rsid w:val="00D700E8"/>
    <w:rsid w:val="00D73591"/>
    <w:rsid w:val="00D739A1"/>
    <w:rsid w:val="00D74CAF"/>
    <w:rsid w:val="00D76D2B"/>
    <w:rsid w:val="00D80EF3"/>
    <w:rsid w:val="00D8398E"/>
    <w:rsid w:val="00D84BBD"/>
    <w:rsid w:val="00D8511A"/>
    <w:rsid w:val="00D871F4"/>
    <w:rsid w:val="00D87C8F"/>
    <w:rsid w:val="00D90A06"/>
    <w:rsid w:val="00D90D8C"/>
    <w:rsid w:val="00D95288"/>
    <w:rsid w:val="00D96AEE"/>
    <w:rsid w:val="00DA25E4"/>
    <w:rsid w:val="00DB0E31"/>
    <w:rsid w:val="00DB32E7"/>
    <w:rsid w:val="00DC2354"/>
    <w:rsid w:val="00DC59CF"/>
    <w:rsid w:val="00DC735D"/>
    <w:rsid w:val="00DD2C21"/>
    <w:rsid w:val="00DE2AC1"/>
    <w:rsid w:val="00DE3714"/>
    <w:rsid w:val="00DE7505"/>
    <w:rsid w:val="00DE7A53"/>
    <w:rsid w:val="00DF1A44"/>
    <w:rsid w:val="00DF2EE1"/>
    <w:rsid w:val="00DF38AA"/>
    <w:rsid w:val="00DF5890"/>
    <w:rsid w:val="00E06446"/>
    <w:rsid w:val="00E075C8"/>
    <w:rsid w:val="00E12607"/>
    <w:rsid w:val="00E14A4E"/>
    <w:rsid w:val="00E1668D"/>
    <w:rsid w:val="00E22536"/>
    <w:rsid w:val="00E24438"/>
    <w:rsid w:val="00E24AD0"/>
    <w:rsid w:val="00E35495"/>
    <w:rsid w:val="00E37173"/>
    <w:rsid w:val="00E55CAC"/>
    <w:rsid w:val="00E6139C"/>
    <w:rsid w:val="00E629F9"/>
    <w:rsid w:val="00E64749"/>
    <w:rsid w:val="00E748DE"/>
    <w:rsid w:val="00E75C70"/>
    <w:rsid w:val="00E76AF1"/>
    <w:rsid w:val="00E82125"/>
    <w:rsid w:val="00E82ABC"/>
    <w:rsid w:val="00E86293"/>
    <w:rsid w:val="00E8658F"/>
    <w:rsid w:val="00E903D0"/>
    <w:rsid w:val="00E90BF3"/>
    <w:rsid w:val="00E91AC0"/>
    <w:rsid w:val="00E964F1"/>
    <w:rsid w:val="00E97900"/>
    <w:rsid w:val="00EA3DE1"/>
    <w:rsid w:val="00EA6DFF"/>
    <w:rsid w:val="00EB0228"/>
    <w:rsid w:val="00EB03D1"/>
    <w:rsid w:val="00EB3EBB"/>
    <w:rsid w:val="00EB4830"/>
    <w:rsid w:val="00EB6F2B"/>
    <w:rsid w:val="00EC49E1"/>
    <w:rsid w:val="00ED1CCD"/>
    <w:rsid w:val="00ED34C4"/>
    <w:rsid w:val="00ED546B"/>
    <w:rsid w:val="00EE4050"/>
    <w:rsid w:val="00EE53FC"/>
    <w:rsid w:val="00EE7152"/>
    <w:rsid w:val="00EF0E7C"/>
    <w:rsid w:val="00EF1D48"/>
    <w:rsid w:val="00EF21F0"/>
    <w:rsid w:val="00EF3DD4"/>
    <w:rsid w:val="00EF4BB0"/>
    <w:rsid w:val="00EF739F"/>
    <w:rsid w:val="00F0357C"/>
    <w:rsid w:val="00F05176"/>
    <w:rsid w:val="00F0527F"/>
    <w:rsid w:val="00F05789"/>
    <w:rsid w:val="00F126E1"/>
    <w:rsid w:val="00F144D5"/>
    <w:rsid w:val="00F16D82"/>
    <w:rsid w:val="00F22422"/>
    <w:rsid w:val="00F22DC3"/>
    <w:rsid w:val="00F359D6"/>
    <w:rsid w:val="00F37560"/>
    <w:rsid w:val="00F40B42"/>
    <w:rsid w:val="00F40D02"/>
    <w:rsid w:val="00F438B7"/>
    <w:rsid w:val="00F45D85"/>
    <w:rsid w:val="00F53E41"/>
    <w:rsid w:val="00F5457B"/>
    <w:rsid w:val="00F60CDE"/>
    <w:rsid w:val="00F611CA"/>
    <w:rsid w:val="00F61C04"/>
    <w:rsid w:val="00F6495F"/>
    <w:rsid w:val="00F713DA"/>
    <w:rsid w:val="00F720A4"/>
    <w:rsid w:val="00F724C1"/>
    <w:rsid w:val="00F74AE5"/>
    <w:rsid w:val="00F770E3"/>
    <w:rsid w:val="00F85083"/>
    <w:rsid w:val="00F92626"/>
    <w:rsid w:val="00F92A14"/>
    <w:rsid w:val="00F9402D"/>
    <w:rsid w:val="00F953C6"/>
    <w:rsid w:val="00F96756"/>
    <w:rsid w:val="00FA030D"/>
    <w:rsid w:val="00FA4A8A"/>
    <w:rsid w:val="00FB0261"/>
    <w:rsid w:val="00FB2F13"/>
    <w:rsid w:val="00FB573B"/>
    <w:rsid w:val="00FB6593"/>
    <w:rsid w:val="00FD3E79"/>
    <w:rsid w:val="00FE2A28"/>
    <w:rsid w:val="00FE40E1"/>
    <w:rsid w:val="00FE4C4C"/>
    <w:rsid w:val="00FF04A0"/>
    <w:rsid w:val="00FF10C8"/>
    <w:rsid w:val="00FF2B7A"/>
    <w:rsid w:val="00FF42C0"/>
    <w:rsid w:val="00FF7A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0B1"/>
    <w:pPr>
      <w:keepNext/>
      <w:keepLines/>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A20B1"/>
    <w:pPr>
      <w:keepNext/>
      <w:keepLines/>
      <w:contextualSpacing/>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E40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3BE"/>
    <w:rPr>
      <w:rFonts w:ascii="Arial" w:hAnsi="Arial"/>
    </w:rPr>
  </w:style>
  <w:style w:type="character" w:customStyle="1" w:styleId="Heading1Char">
    <w:name w:val="Heading 1 Char"/>
    <w:basedOn w:val="DefaultParagraphFont"/>
    <w:link w:val="Heading1"/>
    <w:uiPriority w:val="9"/>
    <w:rsid w:val="004A20B1"/>
    <w:rPr>
      <w:rFonts w:eastAsiaTheme="majorEastAsia" w:cstheme="majorBidi"/>
      <w:b/>
      <w:bCs/>
      <w:sz w:val="28"/>
      <w:szCs w:val="28"/>
    </w:rPr>
  </w:style>
  <w:style w:type="character" w:customStyle="1" w:styleId="Heading2Char">
    <w:name w:val="Heading 2 Char"/>
    <w:basedOn w:val="DefaultParagraphFont"/>
    <w:link w:val="Heading2"/>
    <w:uiPriority w:val="9"/>
    <w:rsid w:val="004A20B1"/>
    <w:rPr>
      <w:rFonts w:asciiTheme="minorHAnsi" w:eastAsiaTheme="majorEastAsia" w:hAnsiTheme="minorHAnsi" w:cstheme="majorBidi"/>
      <w:b/>
      <w:bCs/>
      <w:sz w:val="28"/>
      <w:szCs w:val="26"/>
    </w:rPr>
  </w:style>
  <w:style w:type="character" w:styleId="Hyperlink">
    <w:name w:val="Hyperlink"/>
    <w:basedOn w:val="DefaultParagraphFont"/>
    <w:uiPriority w:val="99"/>
    <w:unhideWhenUsed/>
    <w:rsid w:val="00A119AF"/>
    <w:rPr>
      <w:color w:val="0000FF" w:themeColor="hyperlink"/>
      <w:u w:val="single"/>
    </w:rPr>
  </w:style>
  <w:style w:type="paragraph" w:styleId="ListParagraph">
    <w:name w:val="List Paragraph"/>
    <w:basedOn w:val="Normal"/>
    <w:uiPriority w:val="34"/>
    <w:qFormat/>
    <w:rsid w:val="000E1231"/>
    <w:pPr>
      <w:ind w:left="720"/>
      <w:contextualSpacing/>
    </w:pPr>
  </w:style>
  <w:style w:type="character" w:styleId="FollowedHyperlink">
    <w:name w:val="FollowedHyperlink"/>
    <w:basedOn w:val="DefaultParagraphFont"/>
    <w:uiPriority w:val="99"/>
    <w:semiHidden/>
    <w:unhideWhenUsed/>
    <w:rsid w:val="00081C9F"/>
    <w:rPr>
      <w:color w:val="800080" w:themeColor="followedHyperlink"/>
      <w:u w:val="single"/>
    </w:rPr>
  </w:style>
  <w:style w:type="table" w:styleId="TableGrid">
    <w:name w:val="Table Grid"/>
    <w:basedOn w:val="TableNormal"/>
    <w:uiPriority w:val="59"/>
    <w:rsid w:val="001A76B8"/>
    <w:rPr>
      <w:rFonts w:eastAsia="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D60"/>
    <w:rPr>
      <w:rFonts w:ascii="Tahoma" w:hAnsi="Tahoma" w:cs="Tahoma"/>
      <w:sz w:val="16"/>
      <w:szCs w:val="16"/>
    </w:rPr>
  </w:style>
  <w:style w:type="character" w:customStyle="1" w:styleId="BalloonTextChar">
    <w:name w:val="Balloon Text Char"/>
    <w:basedOn w:val="DefaultParagraphFont"/>
    <w:link w:val="BalloonText"/>
    <w:uiPriority w:val="99"/>
    <w:semiHidden/>
    <w:rsid w:val="00B13D60"/>
    <w:rPr>
      <w:rFonts w:ascii="Tahoma" w:hAnsi="Tahoma" w:cs="Tahoma"/>
      <w:sz w:val="16"/>
      <w:szCs w:val="16"/>
    </w:rPr>
  </w:style>
  <w:style w:type="paragraph" w:styleId="Header">
    <w:name w:val="header"/>
    <w:basedOn w:val="Normal"/>
    <w:link w:val="HeaderChar"/>
    <w:uiPriority w:val="99"/>
    <w:unhideWhenUsed/>
    <w:rsid w:val="005E2E71"/>
    <w:pPr>
      <w:tabs>
        <w:tab w:val="center" w:pos="4513"/>
        <w:tab w:val="right" w:pos="9026"/>
      </w:tabs>
    </w:pPr>
  </w:style>
  <w:style w:type="character" w:customStyle="1" w:styleId="HeaderChar">
    <w:name w:val="Header Char"/>
    <w:basedOn w:val="DefaultParagraphFont"/>
    <w:link w:val="Header"/>
    <w:uiPriority w:val="99"/>
    <w:rsid w:val="005E2E71"/>
  </w:style>
  <w:style w:type="paragraph" w:styleId="Footer">
    <w:name w:val="footer"/>
    <w:basedOn w:val="Normal"/>
    <w:link w:val="FooterChar"/>
    <w:uiPriority w:val="99"/>
    <w:unhideWhenUsed/>
    <w:rsid w:val="005E2E71"/>
    <w:pPr>
      <w:tabs>
        <w:tab w:val="center" w:pos="4513"/>
        <w:tab w:val="right" w:pos="9026"/>
      </w:tabs>
    </w:pPr>
  </w:style>
  <w:style w:type="character" w:customStyle="1" w:styleId="FooterChar">
    <w:name w:val="Footer Char"/>
    <w:basedOn w:val="DefaultParagraphFont"/>
    <w:link w:val="Footer"/>
    <w:uiPriority w:val="99"/>
    <w:rsid w:val="005E2E71"/>
  </w:style>
  <w:style w:type="paragraph" w:styleId="FootnoteText">
    <w:name w:val="footnote text"/>
    <w:basedOn w:val="Normal"/>
    <w:link w:val="FootnoteTextChar"/>
    <w:uiPriority w:val="99"/>
    <w:semiHidden/>
    <w:unhideWhenUsed/>
    <w:rsid w:val="00A32652"/>
    <w:rPr>
      <w:sz w:val="20"/>
      <w:szCs w:val="20"/>
    </w:rPr>
  </w:style>
  <w:style w:type="character" w:customStyle="1" w:styleId="FootnoteTextChar">
    <w:name w:val="Footnote Text Char"/>
    <w:basedOn w:val="DefaultParagraphFont"/>
    <w:link w:val="FootnoteText"/>
    <w:uiPriority w:val="99"/>
    <w:semiHidden/>
    <w:rsid w:val="00A32652"/>
    <w:rPr>
      <w:sz w:val="20"/>
      <w:szCs w:val="20"/>
    </w:rPr>
  </w:style>
  <w:style w:type="character" w:styleId="FootnoteReference">
    <w:name w:val="footnote reference"/>
    <w:basedOn w:val="DefaultParagraphFont"/>
    <w:uiPriority w:val="99"/>
    <w:semiHidden/>
    <w:unhideWhenUsed/>
    <w:rsid w:val="00A32652"/>
    <w:rPr>
      <w:vertAlign w:val="superscript"/>
    </w:rPr>
  </w:style>
  <w:style w:type="character" w:customStyle="1" w:styleId="Heading3Char">
    <w:name w:val="Heading 3 Char"/>
    <w:basedOn w:val="DefaultParagraphFont"/>
    <w:link w:val="Heading3"/>
    <w:uiPriority w:val="9"/>
    <w:rsid w:val="00FE40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233BB"/>
    <w:rPr>
      <w:rFonts w:cs="Times New Roman"/>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0B1"/>
    <w:pPr>
      <w:keepNext/>
      <w:keepLines/>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A20B1"/>
    <w:pPr>
      <w:keepNext/>
      <w:keepLines/>
      <w:contextualSpacing/>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E40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3BE"/>
    <w:rPr>
      <w:rFonts w:ascii="Arial" w:hAnsi="Arial"/>
    </w:rPr>
  </w:style>
  <w:style w:type="character" w:customStyle="1" w:styleId="Heading1Char">
    <w:name w:val="Heading 1 Char"/>
    <w:basedOn w:val="DefaultParagraphFont"/>
    <w:link w:val="Heading1"/>
    <w:uiPriority w:val="9"/>
    <w:rsid w:val="004A20B1"/>
    <w:rPr>
      <w:rFonts w:eastAsiaTheme="majorEastAsia" w:cstheme="majorBidi"/>
      <w:b/>
      <w:bCs/>
      <w:sz w:val="28"/>
      <w:szCs w:val="28"/>
    </w:rPr>
  </w:style>
  <w:style w:type="character" w:customStyle="1" w:styleId="Heading2Char">
    <w:name w:val="Heading 2 Char"/>
    <w:basedOn w:val="DefaultParagraphFont"/>
    <w:link w:val="Heading2"/>
    <w:uiPriority w:val="9"/>
    <w:rsid w:val="004A20B1"/>
    <w:rPr>
      <w:rFonts w:asciiTheme="minorHAnsi" w:eastAsiaTheme="majorEastAsia" w:hAnsiTheme="minorHAnsi" w:cstheme="majorBidi"/>
      <w:b/>
      <w:bCs/>
      <w:sz w:val="28"/>
      <w:szCs w:val="26"/>
    </w:rPr>
  </w:style>
  <w:style w:type="character" w:styleId="Hyperlink">
    <w:name w:val="Hyperlink"/>
    <w:basedOn w:val="DefaultParagraphFont"/>
    <w:uiPriority w:val="99"/>
    <w:unhideWhenUsed/>
    <w:rsid w:val="00A119AF"/>
    <w:rPr>
      <w:color w:val="0000FF" w:themeColor="hyperlink"/>
      <w:u w:val="single"/>
    </w:rPr>
  </w:style>
  <w:style w:type="paragraph" w:styleId="ListParagraph">
    <w:name w:val="List Paragraph"/>
    <w:basedOn w:val="Normal"/>
    <w:uiPriority w:val="34"/>
    <w:qFormat/>
    <w:rsid w:val="000E1231"/>
    <w:pPr>
      <w:ind w:left="720"/>
      <w:contextualSpacing/>
    </w:pPr>
  </w:style>
  <w:style w:type="character" w:styleId="FollowedHyperlink">
    <w:name w:val="FollowedHyperlink"/>
    <w:basedOn w:val="DefaultParagraphFont"/>
    <w:uiPriority w:val="99"/>
    <w:semiHidden/>
    <w:unhideWhenUsed/>
    <w:rsid w:val="00081C9F"/>
    <w:rPr>
      <w:color w:val="800080" w:themeColor="followedHyperlink"/>
      <w:u w:val="single"/>
    </w:rPr>
  </w:style>
  <w:style w:type="table" w:styleId="TableGrid">
    <w:name w:val="Table Grid"/>
    <w:basedOn w:val="TableNormal"/>
    <w:uiPriority w:val="59"/>
    <w:rsid w:val="001A76B8"/>
    <w:rPr>
      <w:rFonts w:eastAsia="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D60"/>
    <w:rPr>
      <w:rFonts w:ascii="Tahoma" w:hAnsi="Tahoma" w:cs="Tahoma"/>
      <w:sz w:val="16"/>
      <w:szCs w:val="16"/>
    </w:rPr>
  </w:style>
  <w:style w:type="character" w:customStyle="1" w:styleId="BalloonTextChar">
    <w:name w:val="Balloon Text Char"/>
    <w:basedOn w:val="DefaultParagraphFont"/>
    <w:link w:val="BalloonText"/>
    <w:uiPriority w:val="99"/>
    <w:semiHidden/>
    <w:rsid w:val="00B13D60"/>
    <w:rPr>
      <w:rFonts w:ascii="Tahoma" w:hAnsi="Tahoma" w:cs="Tahoma"/>
      <w:sz w:val="16"/>
      <w:szCs w:val="16"/>
    </w:rPr>
  </w:style>
  <w:style w:type="paragraph" w:styleId="Header">
    <w:name w:val="header"/>
    <w:basedOn w:val="Normal"/>
    <w:link w:val="HeaderChar"/>
    <w:uiPriority w:val="99"/>
    <w:unhideWhenUsed/>
    <w:rsid w:val="005E2E71"/>
    <w:pPr>
      <w:tabs>
        <w:tab w:val="center" w:pos="4513"/>
        <w:tab w:val="right" w:pos="9026"/>
      </w:tabs>
    </w:pPr>
  </w:style>
  <w:style w:type="character" w:customStyle="1" w:styleId="HeaderChar">
    <w:name w:val="Header Char"/>
    <w:basedOn w:val="DefaultParagraphFont"/>
    <w:link w:val="Header"/>
    <w:uiPriority w:val="99"/>
    <w:rsid w:val="005E2E71"/>
  </w:style>
  <w:style w:type="paragraph" w:styleId="Footer">
    <w:name w:val="footer"/>
    <w:basedOn w:val="Normal"/>
    <w:link w:val="FooterChar"/>
    <w:uiPriority w:val="99"/>
    <w:unhideWhenUsed/>
    <w:rsid w:val="005E2E71"/>
    <w:pPr>
      <w:tabs>
        <w:tab w:val="center" w:pos="4513"/>
        <w:tab w:val="right" w:pos="9026"/>
      </w:tabs>
    </w:pPr>
  </w:style>
  <w:style w:type="character" w:customStyle="1" w:styleId="FooterChar">
    <w:name w:val="Footer Char"/>
    <w:basedOn w:val="DefaultParagraphFont"/>
    <w:link w:val="Footer"/>
    <w:uiPriority w:val="99"/>
    <w:rsid w:val="005E2E71"/>
  </w:style>
  <w:style w:type="paragraph" w:styleId="FootnoteText">
    <w:name w:val="footnote text"/>
    <w:basedOn w:val="Normal"/>
    <w:link w:val="FootnoteTextChar"/>
    <w:uiPriority w:val="99"/>
    <w:semiHidden/>
    <w:unhideWhenUsed/>
    <w:rsid w:val="00A32652"/>
    <w:rPr>
      <w:sz w:val="20"/>
      <w:szCs w:val="20"/>
    </w:rPr>
  </w:style>
  <w:style w:type="character" w:customStyle="1" w:styleId="FootnoteTextChar">
    <w:name w:val="Footnote Text Char"/>
    <w:basedOn w:val="DefaultParagraphFont"/>
    <w:link w:val="FootnoteText"/>
    <w:uiPriority w:val="99"/>
    <w:semiHidden/>
    <w:rsid w:val="00A32652"/>
    <w:rPr>
      <w:sz w:val="20"/>
      <w:szCs w:val="20"/>
    </w:rPr>
  </w:style>
  <w:style w:type="character" w:styleId="FootnoteReference">
    <w:name w:val="footnote reference"/>
    <w:basedOn w:val="DefaultParagraphFont"/>
    <w:uiPriority w:val="99"/>
    <w:semiHidden/>
    <w:unhideWhenUsed/>
    <w:rsid w:val="00A32652"/>
    <w:rPr>
      <w:vertAlign w:val="superscript"/>
    </w:rPr>
  </w:style>
  <w:style w:type="character" w:customStyle="1" w:styleId="Heading3Char">
    <w:name w:val="Heading 3 Char"/>
    <w:basedOn w:val="DefaultParagraphFont"/>
    <w:link w:val="Heading3"/>
    <w:uiPriority w:val="9"/>
    <w:rsid w:val="00FE40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233BB"/>
    <w:rPr>
      <w:rFonts w:cs="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1947">
      <w:bodyDiv w:val="1"/>
      <w:marLeft w:val="0"/>
      <w:marRight w:val="0"/>
      <w:marTop w:val="0"/>
      <w:marBottom w:val="0"/>
      <w:divBdr>
        <w:top w:val="none" w:sz="0" w:space="0" w:color="auto"/>
        <w:left w:val="none" w:sz="0" w:space="0" w:color="auto"/>
        <w:bottom w:val="none" w:sz="0" w:space="0" w:color="auto"/>
        <w:right w:val="none" w:sz="0" w:space="0" w:color="auto"/>
      </w:divBdr>
    </w:div>
    <w:div w:id="636764749">
      <w:bodyDiv w:val="1"/>
      <w:marLeft w:val="0"/>
      <w:marRight w:val="0"/>
      <w:marTop w:val="0"/>
      <w:marBottom w:val="0"/>
      <w:divBdr>
        <w:top w:val="none" w:sz="0" w:space="0" w:color="auto"/>
        <w:left w:val="none" w:sz="0" w:space="0" w:color="auto"/>
        <w:bottom w:val="none" w:sz="0" w:space="0" w:color="auto"/>
        <w:right w:val="none" w:sz="0" w:space="0" w:color="auto"/>
      </w:divBdr>
    </w:div>
    <w:div w:id="11250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y.omara@per.gov.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gov.ie/pens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irculars.gov.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ireachtas.ie/viewdoc.asp?fn=/documents/bills28/acts/2015/a3915.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EE50-C0E2-4096-8A10-BC002F75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DCU User</cp:lastModifiedBy>
  <cp:revision>2</cp:revision>
  <cp:lastPrinted>2015-12-08T15:38:00Z</cp:lastPrinted>
  <dcterms:created xsi:type="dcterms:W3CDTF">2016-01-07T16:46:00Z</dcterms:created>
  <dcterms:modified xsi:type="dcterms:W3CDTF">2016-01-07T16:46:00Z</dcterms:modified>
</cp:coreProperties>
</file>