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44663F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38A65BDB" w14:textId="1AD6F386" w:rsidR="00FE079B" w:rsidRDefault="00D6754A" w:rsidP="008A7EF7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43491839" w14:textId="277BAFEB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4F189200" w14:textId="61047F88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49D69DD" w14:textId="0002DA43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87BFF68" w14:textId="77777777" w:rsidR="008A7EF7" w:rsidRPr="00FC2697" w:rsidRDefault="008A7EF7" w:rsidP="008A7EF7">
      <w:pPr>
        <w:jc w:val="center"/>
        <w:rPr>
          <w:b/>
        </w:rPr>
      </w:pPr>
    </w:p>
    <w:p w14:paraId="611EBE24" w14:textId="2FD63701" w:rsidR="00FE079B" w:rsidRPr="00E15FA3" w:rsidRDefault="00E15FA3" w:rsidP="00E15FA3">
      <w:pPr>
        <w:pStyle w:val="Heading1"/>
        <w:rPr>
          <w:rFonts w:asciiTheme="minorHAnsi" w:hAnsiTheme="minorHAnsi" w:cstheme="minorHAnsi"/>
          <w:b/>
          <w:bCs/>
        </w:rPr>
      </w:pPr>
      <w:bookmarkStart w:id="0" w:name="_APPENDIX_A_-"/>
      <w:bookmarkStart w:id="1" w:name="_Toc65235126"/>
      <w:bookmarkEnd w:id="0"/>
      <w:r w:rsidRPr="00E15FA3">
        <w:rPr>
          <w:rFonts w:asciiTheme="minorHAnsi" w:hAnsiTheme="minorHAnsi" w:cstheme="minorHAnsi"/>
          <w:b/>
          <w:bCs/>
        </w:rPr>
        <w:lastRenderedPageBreak/>
        <w:t>APPENDIX A - STANDARD PRECAUTIONS TO CONTROL THE RISK OF OCCUPATIONAL INFECTION</w:t>
      </w:r>
      <w:bookmarkEnd w:id="1"/>
    </w:p>
    <w:p w14:paraId="73716642" w14:textId="77777777" w:rsidR="00FE079B" w:rsidRPr="00FB485A" w:rsidRDefault="00FE079B" w:rsidP="00FB485A">
      <w:pPr>
        <w:rPr>
          <w:b/>
          <w:bCs/>
          <w:sz w:val="24"/>
          <w:szCs w:val="24"/>
        </w:rPr>
      </w:pPr>
    </w:p>
    <w:p w14:paraId="2296764B" w14:textId="3320708C" w:rsidR="00FE079B" w:rsidRPr="00FB485A" w:rsidRDefault="00FE079B" w:rsidP="00E15FA3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Standard precautions outlined below are infection control principles that treat all human blood and other potentially infectious materials as </w:t>
      </w:r>
      <w:r w:rsidR="005018BC" w:rsidRPr="00FB485A">
        <w:rPr>
          <w:sz w:val="24"/>
          <w:szCs w:val="24"/>
        </w:rPr>
        <w:t xml:space="preserve">being </w:t>
      </w:r>
      <w:r w:rsidRPr="00FB485A">
        <w:rPr>
          <w:sz w:val="24"/>
          <w:szCs w:val="24"/>
        </w:rPr>
        <w:t>infectious. The risk of exposure to blood-borne viruses and other biological hazardous agents can be significantly reduced by following the guidance in this policy</w:t>
      </w:r>
      <w:r w:rsidR="005018BC" w:rsidRPr="00FB485A">
        <w:rPr>
          <w:sz w:val="24"/>
          <w:szCs w:val="24"/>
        </w:rPr>
        <w:t>,</w:t>
      </w:r>
      <w:r w:rsidRPr="00FB485A">
        <w:rPr>
          <w:sz w:val="24"/>
          <w:szCs w:val="24"/>
        </w:rPr>
        <w:t xml:space="preserve"> and </w:t>
      </w:r>
      <w:r w:rsidR="005018BC" w:rsidRPr="00FB485A">
        <w:rPr>
          <w:sz w:val="24"/>
          <w:szCs w:val="24"/>
        </w:rPr>
        <w:t xml:space="preserve">by </w:t>
      </w:r>
      <w:r w:rsidRPr="00FB485A">
        <w:rPr>
          <w:sz w:val="24"/>
          <w:szCs w:val="24"/>
        </w:rPr>
        <w:t>adhering to the following</w:t>
      </w:r>
      <w:r w:rsidR="005018BC" w:rsidRPr="00FB485A">
        <w:rPr>
          <w:sz w:val="24"/>
          <w:szCs w:val="24"/>
        </w:rPr>
        <w:t xml:space="preserve"> recommendations</w:t>
      </w:r>
      <w:r w:rsidRPr="00FB485A">
        <w:rPr>
          <w:sz w:val="24"/>
          <w:szCs w:val="24"/>
        </w:rPr>
        <w:t>:</w:t>
      </w:r>
    </w:p>
    <w:p w14:paraId="006F8749" w14:textId="77777777" w:rsidR="005018BC" w:rsidRPr="00FB485A" w:rsidRDefault="005018BC" w:rsidP="00E15FA3">
      <w:pPr>
        <w:jc w:val="both"/>
        <w:rPr>
          <w:sz w:val="24"/>
          <w:szCs w:val="24"/>
        </w:rPr>
      </w:pPr>
    </w:p>
    <w:p w14:paraId="1853B6AE" w14:textId="59586F6F" w:rsidR="001C7CD8" w:rsidRDefault="00FE079B" w:rsidP="00933895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Ap</w:t>
      </w:r>
      <w:r w:rsidR="005018BC" w:rsidRPr="00FB485A">
        <w:rPr>
          <w:sz w:val="24"/>
          <w:szCs w:val="24"/>
        </w:rPr>
        <w:t xml:space="preserve">ply good hand washing practices, for example by adhering to the </w:t>
      </w:r>
      <w:hyperlink r:id="rId9" w:history="1">
        <w:r w:rsidR="005018BC" w:rsidRPr="00933895">
          <w:rPr>
            <w:rStyle w:val="Hyperlink"/>
            <w:sz w:val="24"/>
            <w:szCs w:val="24"/>
          </w:rPr>
          <w:t>HSE guidelines</w:t>
        </w:r>
      </w:hyperlink>
      <w:r w:rsidR="00933895">
        <w:rPr>
          <w:sz w:val="24"/>
          <w:szCs w:val="24"/>
        </w:rPr>
        <w:t>.</w:t>
      </w:r>
    </w:p>
    <w:p w14:paraId="30B7DA8E" w14:textId="77777777" w:rsidR="00933895" w:rsidRPr="00FB485A" w:rsidRDefault="00933895" w:rsidP="00933895">
      <w:pPr>
        <w:pStyle w:val="ListParagraph"/>
        <w:jc w:val="both"/>
        <w:rPr>
          <w:sz w:val="24"/>
          <w:szCs w:val="24"/>
        </w:rPr>
      </w:pPr>
    </w:p>
    <w:p w14:paraId="4B9DF422" w14:textId="3DE51497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Wear protective clothing, pro</w:t>
      </w:r>
      <w:r w:rsidR="00FD7887" w:rsidRPr="00FB485A">
        <w:rPr>
          <w:sz w:val="24"/>
          <w:szCs w:val="24"/>
        </w:rPr>
        <w:t>portionate to the level of risk.</w:t>
      </w:r>
      <w:r w:rsidR="005018BC" w:rsidRPr="00FB485A">
        <w:rPr>
          <w:sz w:val="24"/>
          <w:szCs w:val="24"/>
        </w:rPr>
        <w:t xml:space="preserve"> For laboratory-based staff, Personal Protective Equipment (PPE) guidelines recommend the use of a (i) fully-buttoned laboratory coat, (ii) laboratory glasses, (iii)</w:t>
      </w:r>
      <w:r w:rsidR="001C7CD8" w:rsidRPr="00FB485A">
        <w:rPr>
          <w:sz w:val="24"/>
          <w:szCs w:val="24"/>
        </w:rPr>
        <w:t xml:space="preserve"> full-length trousers,</w:t>
      </w:r>
      <w:r w:rsidR="005018BC" w:rsidRPr="00FB485A">
        <w:rPr>
          <w:sz w:val="24"/>
          <w:szCs w:val="24"/>
        </w:rPr>
        <w:t xml:space="preserve"> (iv) closed-toed shoes</w:t>
      </w:r>
      <w:r w:rsidR="001C7CD8" w:rsidRPr="00FB485A">
        <w:rPr>
          <w:sz w:val="24"/>
          <w:szCs w:val="24"/>
        </w:rPr>
        <w:t xml:space="preserve"> and (v) nitrile gloves, removed upon completion of the activity and prior to departing the laboratory (if latex, if deemed appropriate).</w:t>
      </w:r>
    </w:p>
    <w:p w14:paraId="5A56E610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05AB8F4D" w14:textId="49519892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Cover all breaks in exposed skin with plasters</w:t>
      </w:r>
      <w:r w:rsidR="00FD7887" w:rsidRPr="00FB485A">
        <w:rPr>
          <w:sz w:val="24"/>
          <w:szCs w:val="24"/>
        </w:rPr>
        <w:t>.</w:t>
      </w:r>
      <w:r w:rsidRPr="00FB485A">
        <w:rPr>
          <w:sz w:val="24"/>
          <w:szCs w:val="24"/>
        </w:rPr>
        <w:t xml:space="preserve"> </w:t>
      </w:r>
    </w:p>
    <w:p w14:paraId="112629DC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2E2A8DDA" w14:textId="4014C204" w:rsidR="001C7CD8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Wear </w:t>
      </w:r>
      <w:r w:rsidR="001C7CD8" w:rsidRPr="00FB485A">
        <w:rPr>
          <w:sz w:val="24"/>
          <w:szCs w:val="24"/>
        </w:rPr>
        <w:t>a full-</w:t>
      </w:r>
      <w:r w:rsidRPr="00FB485A">
        <w:rPr>
          <w:sz w:val="24"/>
          <w:szCs w:val="24"/>
        </w:rPr>
        <w:t xml:space="preserve">face visor or safety spectacles </w:t>
      </w:r>
      <w:r w:rsidR="001C7CD8" w:rsidRPr="00FB485A">
        <w:rPr>
          <w:sz w:val="24"/>
          <w:szCs w:val="24"/>
        </w:rPr>
        <w:t>(</w:t>
      </w:r>
      <w:r w:rsidRPr="00FB485A">
        <w:rPr>
          <w:sz w:val="24"/>
          <w:szCs w:val="24"/>
        </w:rPr>
        <w:t xml:space="preserve">combined with </w:t>
      </w:r>
      <w:r w:rsidR="001C7CD8" w:rsidRPr="00FB485A">
        <w:rPr>
          <w:sz w:val="24"/>
          <w:szCs w:val="24"/>
        </w:rPr>
        <w:t>a face</w:t>
      </w:r>
      <w:r w:rsidRPr="00FB485A">
        <w:rPr>
          <w:sz w:val="24"/>
          <w:szCs w:val="24"/>
        </w:rPr>
        <w:t>mask</w:t>
      </w:r>
      <w:r w:rsidR="001C7CD8" w:rsidRPr="00FB485A">
        <w:rPr>
          <w:sz w:val="24"/>
          <w:szCs w:val="24"/>
        </w:rPr>
        <w:t>) when there is a risk</w:t>
      </w:r>
      <w:r w:rsidRPr="00FB485A">
        <w:rPr>
          <w:sz w:val="24"/>
          <w:szCs w:val="24"/>
        </w:rPr>
        <w:t xml:space="preserve"> of splashing</w:t>
      </w:r>
      <w:r w:rsidR="001C7CD8" w:rsidRPr="00FB485A">
        <w:rPr>
          <w:sz w:val="24"/>
          <w:szCs w:val="24"/>
        </w:rPr>
        <w:t>/direct contact when working with blood or bodily</w:t>
      </w:r>
      <w:r w:rsidRPr="00FB485A">
        <w:rPr>
          <w:sz w:val="24"/>
          <w:szCs w:val="24"/>
        </w:rPr>
        <w:t xml:space="preserve"> fluids.</w:t>
      </w:r>
    </w:p>
    <w:p w14:paraId="6B7BC31D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5B68649E" w14:textId="5058810D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Wear waterproof protective clothing (plastic aprons) where splashing </w:t>
      </w:r>
      <w:r w:rsidR="001C7CD8" w:rsidRPr="00FB485A">
        <w:rPr>
          <w:sz w:val="24"/>
          <w:szCs w:val="24"/>
        </w:rPr>
        <w:t>or direct contact with</w:t>
      </w:r>
      <w:r w:rsidRPr="00FB485A">
        <w:rPr>
          <w:sz w:val="24"/>
          <w:szCs w:val="24"/>
        </w:rPr>
        <w:t xml:space="preserve"> clothing is a possibility</w:t>
      </w:r>
      <w:r w:rsidR="00FD7887" w:rsidRPr="00FB485A">
        <w:rPr>
          <w:sz w:val="24"/>
          <w:szCs w:val="24"/>
        </w:rPr>
        <w:t>.</w:t>
      </w:r>
      <w:r w:rsidRPr="00FB485A">
        <w:rPr>
          <w:sz w:val="24"/>
          <w:szCs w:val="24"/>
        </w:rPr>
        <w:t xml:space="preserve"> </w:t>
      </w:r>
    </w:p>
    <w:p w14:paraId="1D1D2732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4EE8E92C" w14:textId="0A8B4D32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Wear rubber boots or plastic disposable overshoes when the flo</w:t>
      </w:r>
      <w:r w:rsidR="00FD7887" w:rsidRPr="00FB485A">
        <w:rPr>
          <w:sz w:val="24"/>
          <w:szCs w:val="24"/>
        </w:rPr>
        <w:t>or is likely to be contaminated.</w:t>
      </w:r>
    </w:p>
    <w:p w14:paraId="45BE57F5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58462CC7" w14:textId="15B44921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Avoid contaminating surf</w:t>
      </w:r>
      <w:r w:rsidR="00FD7887" w:rsidRPr="00FB485A">
        <w:rPr>
          <w:sz w:val="24"/>
          <w:szCs w:val="24"/>
        </w:rPr>
        <w:t>aces with blood and bod</w:t>
      </w:r>
      <w:r w:rsidR="001C7CD8" w:rsidRPr="00FB485A">
        <w:rPr>
          <w:sz w:val="24"/>
          <w:szCs w:val="24"/>
        </w:rPr>
        <w:t>il</w:t>
      </w:r>
      <w:r w:rsidR="00FD7887" w:rsidRPr="00FB485A">
        <w:rPr>
          <w:sz w:val="24"/>
          <w:szCs w:val="24"/>
        </w:rPr>
        <w:t>y fluids.</w:t>
      </w:r>
    </w:p>
    <w:p w14:paraId="79E8C522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1730A86F" w14:textId="287FF517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Commence decontamination proce</w:t>
      </w:r>
      <w:r w:rsidR="001C7CD8" w:rsidRPr="00FB485A">
        <w:rPr>
          <w:sz w:val="24"/>
          <w:szCs w:val="24"/>
        </w:rPr>
        <w:t>dures immediately after</w:t>
      </w:r>
      <w:r w:rsidR="00FD7887" w:rsidRPr="00FB485A">
        <w:rPr>
          <w:sz w:val="24"/>
          <w:szCs w:val="24"/>
        </w:rPr>
        <w:t xml:space="preserve"> contamination occurs</w:t>
      </w:r>
      <w:r w:rsidR="001C7CD8" w:rsidRPr="00FB485A">
        <w:rPr>
          <w:sz w:val="24"/>
          <w:szCs w:val="24"/>
        </w:rPr>
        <w:t>, or is observed</w:t>
      </w:r>
      <w:r w:rsidR="00FD7887" w:rsidRPr="00FB485A">
        <w:rPr>
          <w:sz w:val="24"/>
          <w:szCs w:val="24"/>
        </w:rPr>
        <w:t>.</w:t>
      </w:r>
    </w:p>
    <w:p w14:paraId="123BD033" w14:textId="77777777" w:rsidR="001C7CD8" w:rsidRPr="00FB485A" w:rsidRDefault="001C7CD8" w:rsidP="00E15FA3">
      <w:pPr>
        <w:pStyle w:val="ListParagraph"/>
        <w:jc w:val="both"/>
        <w:rPr>
          <w:sz w:val="24"/>
          <w:szCs w:val="24"/>
        </w:rPr>
      </w:pPr>
    </w:p>
    <w:p w14:paraId="40BA7182" w14:textId="59AE4B25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Dispose of contaminated </w:t>
      </w:r>
      <w:r w:rsidR="001C7CD8" w:rsidRPr="00FB485A">
        <w:rPr>
          <w:sz w:val="24"/>
          <w:szCs w:val="24"/>
        </w:rPr>
        <w:t xml:space="preserve">biological </w:t>
      </w:r>
      <w:r w:rsidRPr="00FB485A">
        <w:rPr>
          <w:sz w:val="24"/>
          <w:szCs w:val="24"/>
        </w:rPr>
        <w:t xml:space="preserve">waste </w:t>
      </w:r>
      <w:r w:rsidR="001C7CD8" w:rsidRPr="00FB485A">
        <w:rPr>
          <w:sz w:val="24"/>
          <w:szCs w:val="24"/>
        </w:rPr>
        <w:t xml:space="preserve">(e.g. solid, liquid, Genetically-Modified, GM) </w:t>
      </w:r>
      <w:r w:rsidR="00CE7CB6" w:rsidRPr="00FB485A">
        <w:rPr>
          <w:sz w:val="24"/>
          <w:szCs w:val="24"/>
        </w:rPr>
        <w:t>in accordance with</w:t>
      </w:r>
      <w:r w:rsidRPr="00FB485A">
        <w:rPr>
          <w:sz w:val="24"/>
          <w:szCs w:val="24"/>
        </w:rPr>
        <w:t xml:space="preserve"> specified</w:t>
      </w:r>
      <w:r w:rsidR="00CE7CB6" w:rsidRPr="00FB485A">
        <w:rPr>
          <w:sz w:val="24"/>
          <w:szCs w:val="24"/>
        </w:rPr>
        <w:t xml:space="preserve"> and documented</w:t>
      </w:r>
      <w:r w:rsidRPr="00FB485A">
        <w:rPr>
          <w:sz w:val="24"/>
          <w:szCs w:val="24"/>
        </w:rPr>
        <w:t xml:space="preserve"> </w:t>
      </w:r>
      <w:r w:rsidR="00EF7CDA" w:rsidRPr="00FB485A">
        <w:rPr>
          <w:sz w:val="24"/>
          <w:szCs w:val="24"/>
        </w:rPr>
        <w:t xml:space="preserve">local </w:t>
      </w:r>
      <w:r w:rsidRPr="00FB485A">
        <w:rPr>
          <w:sz w:val="24"/>
          <w:szCs w:val="24"/>
        </w:rPr>
        <w:t xml:space="preserve">procedures. </w:t>
      </w:r>
      <w:r w:rsidR="0043686C" w:rsidRPr="00FB485A">
        <w:rPr>
          <w:sz w:val="24"/>
          <w:szCs w:val="24"/>
        </w:rPr>
        <w:t>Here, individuals are referred to their local safety statements, which should issue clear guidelines pertinent to the proper disposal of hazardous waste.</w:t>
      </w:r>
    </w:p>
    <w:p w14:paraId="0F8DC882" w14:textId="77777777" w:rsidR="00CE7CB6" w:rsidRPr="00FB485A" w:rsidRDefault="00CE7CB6" w:rsidP="00E15FA3">
      <w:pPr>
        <w:pStyle w:val="ListParagraph"/>
        <w:jc w:val="both"/>
        <w:rPr>
          <w:sz w:val="24"/>
          <w:szCs w:val="24"/>
        </w:rPr>
      </w:pPr>
    </w:p>
    <w:p w14:paraId="686F1615" w14:textId="4931F928" w:rsidR="00CE7CB6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Appropriate and multiple </w:t>
      </w:r>
      <w:r w:rsidR="00CE7CB6" w:rsidRPr="00FB485A">
        <w:rPr>
          <w:sz w:val="24"/>
          <w:szCs w:val="24"/>
        </w:rPr>
        <w:t xml:space="preserve">Biohazard waste </w:t>
      </w:r>
      <w:r w:rsidRPr="00FB485A">
        <w:rPr>
          <w:sz w:val="24"/>
          <w:szCs w:val="24"/>
        </w:rPr>
        <w:t xml:space="preserve">disposal bins </w:t>
      </w:r>
      <w:r w:rsidR="00CE7CB6" w:rsidRPr="00FB485A">
        <w:rPr>
          <w:sz w:val="24"/>
          <w:szCs w:val="24"/>
        </w:rPr>
        <w:t xml:space="preserve">(for Biohazardous sharp material, such as syringes, glass etc.) </w:t>
      </w:r>
      <w:r w:rsidRPr="00FB485A">
        <w:rPr>
          <w:sz w:val="24"/>
          <w:szCs w:val="24"/>
        </w:rPr>
        <w:t>must be provided</w:t>
      </w:r>
      <w:r w:rsidR="00CE7CB6" w:rsidRPr="00FB485A">
        <w:rPr>
          <w:sz w:val="24"/>
          <w:szCs w:val="24"/>
        </w:rPr>
        <w:t xml:space="preserve"> in all locations where work </w:t>
      </w:r>
      <w:r w:rsidR="00CE7CB6" w:rsidRPr="00FB485A">
        <w:rPr>
          <w:sz w:val="24"/>
          <w:szCs w:val="24"/>
        </w:rPr>
        <w:lastRenderedPageBreak/>
        <w:t>with biological agents is to be undertaken. These individual units</w:t>
      </w:r>
      <w:r w:rsidRPr="00FB485A">
        <w:rPr>
          <w:sz w:val="24"/>
          <w:szCs w:val="24"/>
        </w:rPr>
        <w:t xml:space="preserve"> must </w:t>
      </w:r>
      <w:r w:rsidR="00CE7CB6" w:rsidRPr="00FB485A">
        <w:rPr>
          <w:sz w:val="24"/>
          <w:szCs w:val="24"/>
        </w:rPr>
        <w:t>be filled to the recommended level, as indicated on the container by a dashed line.  Overfilling must be avoided at all times, and individuals should not attempt to reduce the height of accumulated waste by depressing, as this presents a high risk of receiving a needlestick injury / laceration.</w:t>
      </w:r>
    </w:p>
    <w:p w14:paraId="1D30540B" w14:textId="77777777" w:rsidR="00CE7CB6" w:rsidRPr="00FB485A" w:rsidRDefault="00CE7CB6" w:rsidP="00E15FA3">
      <w:pPr>
        <w:pStyle w:val="ListParagraph"/>
        <w:jc w:val="both"/>
        <w:rPr>
          <w:sz w:val="24"/>
          <w:szCs w:val="24"/>
        </w:rPr>
      </w:pPr>
    </w:p>
    <w:p w14:paraId="4BA15122" w14:textId="445D9D58" w:rsidR="00FE079B" w:rsidRPr="00FB485A" w:rsidRDefault="00CE7CB6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Biohazard w</w:t>
      </w:r>
      <w:r w:rsidR="00FE079B" w:rsidRPr="00FB485A">
        <w:rPr>
          <w:sz w:val="24"/>
          <w:szCs w:val="24"/>
        </w:rPr>
        <w:t>aste disposal bins should be secure and identifiable according to the second schedule of the Biological Agents Regulations</w:t>
      </w:r>
      <w:r w:rsidRPr="00FB485A">
        <w:rPr>
          <w:sz w:val="24"/>
          <w:szCs w:val="24"/>
        </w:rPr>
        <w:t>, 2013</w:t>
      </w:r>
      <w:r w:rsidR="00FE079B" w:rsidRPr="00FB485A">
        <w:rPr>
          <w:sz w:val="24"/>
          <w:szCs w:val="24"/>
        </w:rPr>
        <w:t xml:space="preserve">. </w:t>
      </w:r>
      <w:r w:rsidRPr="00FB485A">
        <w:rPr>
          <w:sz w:val="24"/>
          <w:szCs w:val="24"/>
        </w:rPr>
        <w:t xml:space="preserve"> These b</w:t>
      </w:r>
      <w:r w:rsidR="00FE079B" w:rsidRPr="00FB485A">
        <w:rPr>
          <w:sz w:val="24"/>
          <w:szCs w:val="24"/>
        </w:rPr>
        <w:t>ins should be replaced on a regular basis</w:t>
      </w:r>
      <w:r w:rsidRPr="00FB485A">
        <w:rPr>
          <w:sz w:val="24"/>
          <w:szCs w:val="24"/>
        </w:rPr>
        <w:t>,</w:t>
      </w:r>
      <w:r w:rsidR="00FE079B" w:rsidRPr="00FB485A">
        <w:rPr>
          <w:sz w:val="24"/>
          <w:szCs w:val="24"/>
        </w:rPr>
        <w:t xml:space="preserve"> and those members of staf</w:t>
      </w:r>
      <w:r w:rsidRPr="00FB485A">
        <w:rPr>
          <w:sz w:val="24"/>
          <w:szCs w:val="24"/>
        </w:rPr>
        <w:t>f required to handle these bins in a safe manner</w:t>
      </w:r>
      <w:r w:rsidR="00FE079B" w:rsidRPr="00FB485A">
        <w:rPr>
          <w:sz w:val="24"/>
          <w:szCs w:val="24"/>
        </w:rPr>
        <w:t xml:space="preserve"> should receive adequate inform</w:t>
      </w:r>
      <w:r w:rsidRPr="00FB485A">
        <w:rPr>
          <w:sz w:val="24"/>
          <w:szCs w:val="24"/>
        </w:rPr>
        <w:t>ation, training and vaccination to ensure a Safe System of Work can be adhered to.</w:t>
      </w:r>
      <w:r w:rsidR="00FE079B" w:rsidRPr="00FB485A">
        <w:rPr>
          <w:sz w:val="24"/>
          <w:szCs w:val="24"/>
        </w:rPr>
        <w:t xml:space="preserve"> </w:t>
      </w:r>
      <w:r w:rsidRPr="00FB485A">
        <w:rPr>
          <w:sz w:val="24"/>
          <w:szCs w:val="24"/>
        </w:rPr>
        <w:t xml:space="preserve"> </w:t>
      </w:r>
      <w:r w:rsidR="00FE079B" w:rsidRPr="00FB485A">
        <w:rPr>
          <w:sz w:val="24"/>
          <w:szCs w:val="24"/>
        </w:rPr>
        <w:t xml:space="preserve">Needles </w:t>
      </w:r>
      <w:r w:rsidR="00FE079B" w:rsidRPr="00FB485A">
        <w:rPr>
          <w:b/>
          <w:sz w:val="24"/>
          <w:szCs w:val="24"/>
        </w:rPr>
        <w:t>must not</w:t>
      </w:r>
      <w:r w:rsidR="00FE079B" w:rsidRPr="00FB485A">
        <w:rPr>
          <w:sz w:val="24"/>
          <w:szCs w:val="24"/>
        </w:rPr>
        <w:t xml:space="preserve"> be re</w:t>
      </w:r>
      <w:r w:rsidR="000F6C1B" w:rsidRPr="00FB485A">
        <w:rPr>
          <w:sz w:val="24"/>
          <w:szCs w:val="24"/>
        </w:rPr>
        <w:t>-</w:t>
      </w:r>
      <w:r w:rsidR="00FE079B" w:rsidRPr="00FB485A">
        <w:rPr>
          <w:sz w:val="24"/>
          <w:szCs w:val="24"/>
        </w:rPr>
        <w:t xml:space="preserve">sheathed. </w:t>
      </w:r>
    </w:p>
    <w:p w14:paraId="6B25ED00" w14:textId="77777777" w:rsidR="00CE7CB6" w:rsidRPr="00FB485A" w:rsidRDefault="00CE7CB6" w:rsidP="00E15FA3">
      <w:pPr>
        <w:pStyle w:val="ListParagraph"/>
        <w:jc w:val="both"/>
        <w:rPr>
          <w:sz w:val="24"/>
          <w:szCs w:val="24"/>
        </w:rPr>
      </w:pPr>
    </w:p>
    <w:p w14:paraId="06B25514" w14:textId="3E28D6F5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All staff likely to be exposed </w:t>
      </w:r>
      <w:r w:rsidR="00B76C8D" w:rsidRPr="00FB485A">
        <w:rPr>
          <w:sz w:val="24"/>
          <w:szCs w:val="24"/>
        </w:rPr>
        <w:t xml:space="preserve">to Biological Agents </w:t>
      </w:r>
      <w:r w:rsidRPr="00FB485A">
        <w:rPr>
          <w:sz w:val="24"/>
          <w:szCs w:val="24"/>
        </w:rPr>
        <w:t>must be trained to work safely with biological agents</w:t>
      </w:r>
      <w:r w:rsidR="00B76C8D" w:rsidRPr="00FB485A">
        <w:rPr>
          <w:sz w:val="24"/>
          <w:szCs w:val="24"/>
        </w:rPr>
        <w:t>, through attending SafeLab Module and Module BE550, coordinated through the School of Biotechnology.</w:t>
      </w:r>
    </w:p>
    <w:p w14:paraId="09B53AAC" w14:textId="77777777" w:rsidR="00CE7CB6" w:rsidRPr="00FB485A" w:rsidRDefault="00CE7CB6" w:rsidP="00E15FA3">
      <w:pPr>
        <w:pStyle w:val="ListParagraph"/>
        <w:jc w:val="both"/>
        <w:rPr>
          <w:sz w:val="24"/>
          <w:szCs w:val="24"/>
        </w:rPr>
      </w:pPr>
    </w:p>
    <w:p w14:paraId="02769DF0" w14:textId="6961705A" w:rsidR="00FE079B" w:rsidRPr="00FB485A" w:rsidRDefault="00FE079B" w:rsidP="00E15FA3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No food or drink shall be consumed in any area where there may</w:t>
      </w:r>
      <w:r w:rsidR="00B76C8D" w:rsidRPr="00FB485A">
        <w:rPr>
          <w:sz w:val="24"/>
          <w:szCs w:val="24"/>
        </w:rPr>
        <w:t xml:space="preserve"> be a risk of exposure to blood-</w:t>
      </w:r>
      <w:r w:rsidRPr="00FB485A">
        <w:rPr>
          <w:sz w:val="24"/>
          <w:szCs w:val="24"/>
        </w:rPr>
        <w:t>bor</w:t>
      </w:r>
      <w:r w:rsidR="00B76C8D" w:rsidRPr="00FB485A">
        <w:rPr>
          <w:sz w:val="24"/>
          <w:szCs w:val="24"/>
        </w:rPr>
        <w:t>ne viruses and other hazardous Biological A</w:t>
      </w:r>
      <w:r w:rsidRPr="00FB485A">
        <w:rPr>
          <w:sz w:val="24"/>
          <w:szCs w:val="24"/>
        </w:rPr>
        <w:t xml:space="preserve">gents. </w:t>
      </w:r>
    </w:p>
    <w:p w14:paraId="1B95A01C" w14:textId="77777777" w:rsidR="00FE079B" w:rsidRPr="00FC2697" w:rsidRDefault="00FE079B" w:rsidP="000F6C1B">
      <w:pPr>
        <w:jc w:val="both"/>
      </w:pPr>
    </w:p>
    <w:p w14:paraId="740F40E3" w14:textId="3B42ED7B" w:rsidR="00FE079B" w:rsidRPr="00FC2697" w:rsidRDefault="00FE079B" w:rsidP="006934E9">
      <w:r w:rsidRPr="00FC2697">
        <w:rPr>
          <w:b/>
        </w:rPr>
        <w:t>1.1</w:t>
      </w:r>
      <w:r w:rsidRPr="00FC2697">
        <w:tab/>
      </w:r>
      <w:r w:rsidRPr="007C1093">
        <w:rPr>
          <w:b/>
          <w:bCs/>
          <w:sz w:val="24"/>
          <w:szCs w:val="24"/>
        </w:rPr>
        <w:t>Cleaning and Disinfection</w:t>
      </w:r>
      <w:r w:rsidRPr="007C1093">
        <w:t xml:space="preserve"> </w:t>
      </w:r>
    </w:p>
    <w:p w14:paraId="68219286" w14:textId="0DBFCC18" w:rsidR="00EF7CDA" w:rsidRPr="00FB485A" w:rsidRDefault="00FE079B" w:rsidP="00EF7CDA">
      <w:pPr>
        <w:ind w:left="720"/>
        <w:jc w:val="both"/>
        <w:rPr>
          <w:sz w:val="24"/>
          <w:szCs w:val="24"/>
        </w:rPr>
      </w:pPr>
      <w:r w:rsidRPr="00FB485A">
        <w:rPr>
          <w:sz w:val="24"/>
          <w:szCs w:val="24"/>
        </w:rPr>
        <w:t>Spillages of blood or other bod</w:t>
      </w:r>
      <w:r w:rsidR="00EF7CDA" w:rsidRPr="00FB485A">
        <w:rPr>
          <w:sz w:val="24"/>
          <w:szCs w:val="24"/>
        </w:rPr>
        <w:t>il</w:t>
      </w:r>
      <w:r w:rsidRPr="00FB485A">
        <w:rPr>
          <w:sz w:val="24"/>
          <w:szCs w:val="24"/>
        </w:rPr>
        <w:t xml:space="preserve">y fluids </w:t>
      </w:r>
      <w:r w:rsidR="00EF7CDA" w:rsidRPr="00FB485A">
        <w:rPr>
          <w:sz w:val="24"/>
          <w:szCs w:val="24"/>
        </w:rPr>
        <w:t xml:space="preserve">must be properly managed, to reduce the risk of the individual – or other individuals working in proximity to the area – being exposed to a potential biohazard. </w:t>
      </w:r>
    </w:p>
    <w:p w14:paraId="60ED7C99" w14:textId="29EA336D" w:rsidR="0043686C" w:rsidRPr="006934E9" w:rsidRDefault="00EF7CDA" w:rsidP="006934E9">
      <w:pPr>
        <w:ind w:left="720"/>
        <w:jc w:val="both"/>
        <w:rPr>
          <w:sz w:val="24"/>
          <w:szCs w:val="24"/>
        </w:rPr>
      </w:pPr>
      <w:r w:rsidRPr="006934E9">
        <w:rPr>
          <w:sz w:val="24"/>
          <w:szCs w:val="24"/>
        </w:rPr>
        <w:t xml:space="preserve">Biohazard spillages should be managed in accordance with specified and documented local procedures. </w:t>
      </w:r>
      <w:r w:rsidR="0043686C" w:rsidRPr="006934E9">
        <w:rPr>
          <w:sz w:val="24"/>
          <w:szCs w:val="24"/>
        </w:rPr>
        <w:t xml:space="preserve"> Here, individuals are referred to their local safety statements, which should issue clear guidelines pertinent to the proper </w:t>
      </w:r>
      <w:r w:rsidR="006D3C6D" w:rsidRPr="006934E9">
        <w:rPr>
          <w:sz w:val="24"/>
          <w:szCs w:val="24"/>
        </w:rPr>
        <w:t>management of biological spillages (inclusive of blood and bodily fluids)</w:t>
      </w:r>
      <w:r w:rsidR="0043686C" w:rsidRPr="006934E9">
        <w:rPr>
          <w:sz w:val="24"/>
          <w:szCs w:val="24"/>
        </w:rPr>
        <w:t>.</w:t>
      </w:r>
    </w:p>
    <w:p w14:paraId="178ACBC4" w14:textId="77777777" w:rsidR="00FE079B" w:rsidRPr="007C1093" w:rsidRDefault="00FE079B" w:rsidP="000F6C1B">
      <w:pPr>
        <w:jc w:val="both"/>
      </w:pPr>
    </w:p>
    <w:p w14:paraId="51E1C973" w14:textId="66A3F6E0" w:rsidR="00427D3B" w:rsidRPr="00FB485A" w:rsidRDefault="007C1093" w:rsidP="000F6C1B">
      <w:pPr>
        <w:jc w:val="both"/>
        <w:rPr>
          <w:sz w:val="24"/>
          <w:szCs w:val="24"/>
        </w:rPr>
      </w:pPr>
      <w:r w:rsidRPr="007C1093">
        <w:rPr>
          <w:b/>
          <w:bCs/>
          <w:sz w:val="24"/>
          <w:szCs w:val="24"/>
        </w:rPr>
        <w:t>1.2</w:t>
      </w:r>
      <w:r w:rsidRPr="007C1093">
        <w:rPr>
          <w:b/>
          <w:bCs/>
          <w:sz w:val="24"/>
          <w:szCs w:val="24"/>
        </w:rPr>
        <w:tab/>
      </w:r>
      <w:r w:rsidR="00FE079B" w:rsidRPr="007C1093">
        <w:rPr>
          <w:b/>
          <w:bCs/>
          <w:sz w:val="24"/>
          <w:szCs w:val="24"/>
        </w:rPr>
        <w:t xml:space="preserve">Gloves and skin protection </w:t>
      </w:r>
    </w:p>
    <w:p w14:paraId="3D0E6779" w14:textId="4D04B8B7" w:rsidR="006D3C6D" w:rsidRPr="00FC2697" w:rsidRDefault="00427D3B" w:rsidP="006934E9">
      <w:pPr>
        <w:ind w:left="720"/>
        <w:jc w:val="both"/>
      </w:pPr>
      <w:r w:rsidRPr="006934E9">
        <w:rPr>
          <w:sz w:val="24"/>
          <w:szCs w:val="24"/>
        </w:rPr>
        <w:t xml:space="preserve">Guidelines on the correct use of gloves (which confer skin protection, if used correctly) should be managed in accordance with specified and documented local procedures. </w:t>
      </w:r>
      <w:r w:rsidR="006D3C6D" w:rsidRPr="006934E9">
        <w:rPr>
          <w:sz w:val="24"/>
          <w:szCs w:val="24"/>
        </w:rPr>
        <w:t>Here, individuals are referred to their local safety statements, which should issue clear guidelines pertinent to the proper use of personal protective equipment (PPE).</w:t>
      </w:r>
    </w:p>
    <w:sectPr w:rsidR="006D3C6D" w:rsidRPr="00FC2697" w:rsidSect="00F02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79" name="Picture 79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136676187">
    <w:abstractNumId w:val="1"/>
  </w:num>
  <w:num w:numId="2" w16cid:durableId="151339655">
    <w:abstractNumId w:val="13"/>
  </w:num>
  <w:num w:numId="3" w16cid:durableId="779958747">
    <w:abstractNumId w:val="17"/>
  </w:num>
  <w:num w:numId="4" w16cid:durableId="236861093">
    <w:abstractNumId w:val="14"/>
  </w:num>
  <w:num w:numId="5" w16cid:durableId="1276325715">
    <w:abstractNumId w:val="5"/>
  </w:num>
  <w:num w:numId="6" w16cid:durableId="1788887440">
    <w:abstractNumId w:val="26"/>
  </w:num>
  <w:num w:numId="7" w16cid:durableId="907151217">
    <w:abstractNumId w:val="25"/>
  </w:num>
  <w:num w:numId="8" w16cid:durableId="1710183225">
    <w:abstractNumId w:val="10"/>
  </w:num>
  <w:num w:numId="9" w16cid:durableId="1085030320">
    <w:abstractNumId w:val="19"/>
  </w:num>
  <w:num w:numId="10" w16cid:durableId="224339098">
    <w:abstractNumId w:val="24"/>
  </w:num>
  <w:num w:numId="11" w16cid:durableId="1460413563">
    <w:abstractNumId w:val="4"/>
  </w:num>
  <w:num w:numId="12" w16cid:durableId="465709271">
    <w:abstractNumId w:val="20"/>
  </w:num>
  <w:num w:numId="13" w16cid:durableId="1632906833">
    <w:abstractNumId w:val="23"/>
  </w:num>
  <w:num w:numId="14" w16cid:durableId="1124302524">
    <w:abstractNumId w:val="6"/>
  </w:num>
  <w:num w:numId="15" w16cid:durableId="117460593">
    <w:abstractNumId w:val="2"/>
  </w:num>
  <w:num w:numId="16" w16cid:durableId="1425833700">
    <w:abstractNumId w:val="18"/>
  </w:num>
  <w:num w:numId="17" w16cid:durableId="1876381623">
    <w:abstractNumId w:val="3"/>
  </w:num>
  <w:num w:numId="18" w16cid:durableId="1872259662">
    <w:abstractNumId w:val="7"/>
  </w:num>
  <w:num w:numId="19" w16cid:durableId="391463281">
    <w:abstractNumId w:val="8"/>
  </w:num>
  <w:num w:numId="20" w16cid:durableId="1892031360">
    <w:abstractNumId w:val="15"/>
  </w:num>
  <w:num w:numId="21" w16cid:durableId="378019825">
    <w:abstractNumId w:val="22"/>
  </w:num>
  <w:num w:numId="22" w16cid:durableId="1371684511">
    <w:abstractNumId w:val="0"/>
  </w:num>
  <w:num w:numId="23" w16cid:durableId="1087774933">
    <w:abstractNumId w:val="12"/>
  </w:num>
  <w:num w:numId="24" w16cid:durableId="1009020529">
    <w:abstractNumId w:val="9"/>
  </w:num>
  <w:num w:numId="25" w16cid:durableId="864829545">
    <w:abstractNumId w:val="21"/>
  </w:num>
  <w:num w:numId="26" w16cid:durableId="722949236">
    <w:abstractNumId w:val="11"/>
  </w:num>
  <w:num w:numId="27" w16cid:durableId="152975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4663F"/>
    <w:rsid w:val="00460613"/>
    <w:rsid w:val="0047062E"/>
    <w:rsid w:val="00486531"/>
    <w:rsid w:val="00493A5E"/>
    <w:rsid w:val="004A4BC6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33194"/>
    <w:rsid w:val="007405EB"/>
    <w:rsid w:val="0074123B"/>
    <w:rsid w:val="00746885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B22"/>
    <w:rsid w:val="008A2E55"/>
    <w:rsid w:val="008A426C"/>
    <w:rsid w:val="008A4B64"/>
    <w:rsid w:val="008A7EF7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FFB"/>
    <w:rsid w:val="00CE329C"/>
    <w:rsid w:val="00CE7CB6"/>
    <w:rsid w:val="00D059A9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24C6"/>
    <w:rsid w:val="00EA67FC"/>
    <w:rsid w:val="00EC432D"/>
    <w:rsid w:val="00ED5088"/>
    <w:rsid w:val="00EE19ED"/>
    <w:rsid w:val="00EE6A42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hse.ie/wellbeing/how-to-wash-your-hand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4</cp:revision>
  <cp:lastPrinted>2021-02-26T12:32:00Z</cp:lastPrinted>
  <dcterms:created xsi:type="dcterms:W3CDTF">2022-12-12T12:55:00Z</dcterms:created>
  <dcterms:modified xsi:type="dcterms:W3CDTF">2022-12-12T12:57:00Z</dcterms:modified>
</cp:coreProperties>
</file>