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50026" w14:textId="4C0A3E06" w:rsidR="005566A2" w:rsidRDefault="00325BB5">
      <w:pPr>
        <w:pStyle w:val="Heading1"/>
        <w:rPr>
          <w:rFonts w:ascii="Calibri" w:eastAsia="Calibri" w:hAnsi="Calibri" w:cs="Calibri"/>
          <w:b/>
        </w:rPr>
      </w:pPr>
      <w:bookmarkStart w:id="0" w:name="_Toc120618692"/>
      <w:r>
        <w:rPr>
          <w:rFonts w:ascii="Calibri" w:eastAsia="Calibri" w:hAnsi="Calibri" w:cs="Calibri"/>
          <w:b/>
        </w:rPr>
        <w:t>APPENDIX A - STANDARD PRECAUTIONS TO CONTROL THE RISK OF OCCUPATIONAL INFECTION</w:t>
      </w:r>
      <w:bookmarkEnd w:id="0"/>
    </w:p>
    <w:p w14:paraId="2B838713" w14:textId="77777777" w:rsidR="005566A2" w:rsidRDefault="005566A2">
      <w:pPr>
        <w:rPr>
          <w:b/>
          <w:sz w:val="24"/>
          <w:szCs w:val="24"/>
        </w:rPr>
      </w:pPr>
    </w:p>
    <w:p w14:paraId="4089C718" w14:textId="5F4CB4E0" w:rsidR="005566A2" w:rsidRDefault="00325BB5">
      <w:pPr>
        <w:jc w:val="both"/>
        <w:rPr>
          <w:sz w:val="24"/>
          <w:szCs w:val="24"/>
        </w:rPr>
      </w:pPr>
      <w:r>
        <w:rPr>
          <w:sz w:val="24"/>
          <w:szCs w:val="24"/>
        </w:rPr>
        <w:t>Standard precautions outlined below are infection control principles that treat all human blood and other potentially infectious materials as being infectious. The risk of exposure to blood-borne viruses and other biological hazardous agents can be significantly reduced by following the guidance in this policy, and by adhering to the following recommendations:</w:t>
      </w:r>
    </w:p>
    <w:p w14:paraId="00A7C175"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Apply good hand washing practices, for example by adhering to the </w:t>
      </w:r>
      <w:hyperlink r:id="rId9">
        <w:r>
          <w:rPr>
            <w:color w:val="0563C1"/>
            <w:sz w:val="24"/>
            <w:szCs w:val="24"/>
            <w:u w:val="single"/>
          </w:rPr>
          <w:t>HSE guidelines</w:t>
        </w:r>
      </w:hyperlink>
      <w:r>
        <w:rPr>
          <w:color w:val="000000"/>
          <w:sz w:val="24"/>
          <w:szCs w:val="24"/>
        </w:rPr>
        <w:t>.</w:t>
      </w:r>
    </w:p>
    <w:p w14:paraId="3EB561E6" w14:textId="77777777" w:rsidR="005566A2" w:rsidRDefault="005566A2">
      <w:pPr>
        <w:pBdr>
          <w:top w:val="nil"/>
          <w:left w:val="nil"/>
          <w:bottom w:val="nil"/>
          <w:right w:val="nil"/>
          <w:between w:val="nil"/>
        </w:pBdr>
        <w:spacing w:after="0"/>
        <w:ind w:left="720"/>
        <w:jc w:val="both"/>
        <w:rPr>
          <w:color w:val="000000"/>
          <w:sz w:val="24"/>
          <w:szCs w:val="24"/>
        </w:rPr>
      </w:pPr>
    </w:p>
    <w:p w14:paraId="4F797777" w14:textId="6E8FD25F"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Wear protective clothing, proportionate to the level of risk. For laboratory-based staff, Personal Protective Equipment (PPE) guidelines recommend the use of a (i) </w:t>
      </w:r>
      <w:r w:rsidR="00B5729A">
        <w:rPr>
          <w:color w:val="000000"/>
          <w:sz w:val="24"/>
          <w:szCs w:val="24"/>
        </w:rPr>
        <w:t>fully buttoned</w:t>
      </w:r>
      <w:r>
        <w:rPr>
          <w:color w:val="000000"/>
          <w:sz w:val="24"/>
          <w:szCs w:val="24"/>
        </w:rPr>
        <w:t xml:space="preserve"> laboratory coat, (ii) laboratory glasses, (iii) full-length trousers, (iv) closed-toed shoes and (v) nitrile gloves, removed upon completion of the activity and prior to departing the laboratory (if latex, if deemed appropriate).</w:t>
      </w:r>
    </w:p>
    <w:p w14:paraId="01E8FD68" w14:textId="77777777" w:rsidR="005566A2" w:rsidRDefault="005566A2">
      <w:pPr>
        <w:pBdr>
          <w:top w:val="nil"/>
          <w:left w:val="nil"/>
          <w:bottom w:val="nil"/>
          <w:right w:val="nil"/>
          <w:between w:val="nil"/>
        </w:pBdr>
        <w:spacing w:after="0"/>
        <w:ind w:left="720"/>
        <w:jc w:val="both"/>
        <w:rPr>
          <w:color w:val="000000"/>
          <w:sz w:val="24"/>
          <w:szCs w:val="24"/>
        </w:rPr>
      </w:pPr>
    </w:p>
    <w:p w14:paraId="624E24D8"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Cover all breaks in exposed skin with plasters. </w:t>
      </w:r>
    </w:p>
    <w:p w14:paraId="6AE856CC" w14:textId="77777777" w:rsidR="005566A2" w:rsidRDefault="005566A2">
      <w:pPr>
        <w:pBdr>
          <w:top w:val="nil"/>
          <w:left w:val="nil"/>
          <w:bottom w:val="nil"/>
          <w:right w:val="nil"/>
          <w:between w:val="nil"/>
        </w:pBdr>
        <w:spacing w:after="0"/>
        <w:ind w:left="720"/>
        <w:jc w:val="both"/>
        <w:rPr>
          <w:color w:val="000000"/>
          <w:sz w:val="24"/>
          <w:szCs w:val="24"/>
        </w:rPr>
      </w:pPr>
    </w:p>
    <w:p w14:paraId="6E56C944"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Wear a full-face visor or safety spectacles (combined with a facemask) when there is a risk of splashing/direct contact when working with blood or bodily fluids.</w:t>
      </w:r>
    </w:p>
    <w:p w14:paraId="12742AF8" w14:textId="77777777" w:rsidR="005566A2" w:rsidRDefault="005566A2">
      <w:pPr>
        <w:pBdr>
          <w:top w:val="nil"/>
          <w:left w:val="nil"/>
          <w:bottom w:val="nil"/>
          <w:right w:val="nil"/>
          <w:between w:val="nil"/>
        </w:pBdr>
        <w:spacing w:after="0"/>
        <w:ind w:left="720"/>
        <w:jc w:val="both"/>
        <w:rPr>
          <w:color w:val="000000"/>
          <w:sz w:val="24"/>
          <w:szCs w:val="24"/>
        </w:rPr>
      </w:pPr>
    </w:p>
    <w:p w14:paraId="0DA129EA"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Wear waterproof protective clothing (plastic aprons) where splashing or direct contact with clothing is a possibility. </w:t>
      </w:r>
    </w:p>
    <w:p w14:paraId="7AD1A3DC" w14:textId="77777777" w:rsidR="005566A2" w:rsidRDefault="005566A2">
      <w:pPr>
        <w:pBdr>
          <w:top w:val="nil"/>
          <w:left w:val="nil"/>
          <w:bottom w:val="nil"/>
          <w:right w:val="nil"/>
          <w:between w:val="nil"/>
        </w:pBdr>
        <w:spacing w:after="0"/>
        <w:ind w:left="720"/>
        <w:jc w:val="both"/>
        <w:rPr>
          <w:color w:val="000000"/>
          <w:sz w:val="24"/>
          <w:szCs w:val="24"/>
        </w:rPr>
      </w:pPr>
    </w:p>
    <w:p w14:paraId="5788356B"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Wear rubber boots or plastic disposable overshoes when the floor is likely to be contaminated.</w:t>
      </w:r>
    </w:p>
    <w:p w14:paraId="1F762583" w14:textId="77777777" w:rsidR="005566A2" w:rsidRDefault="005566A2">
      <w:pPr>
        <w:pBdr>
          <w:top w:val="nil"/>
          <w:left w:val="nil"/>
          <w:bottom w:val="nil"/>
          <w:right w:val="nil"/>
          <w:between w:val="nil"/>
        </w:pBdr>
        <w:spacing w:after="0"/>
        <w:ind w:left="720"/>
        <w:jc w:val="both"/>
        <w:rPr>
          <w:color w:val="000000"/>
          <w:sz w:val="24"/>
          <w:szCs w:val="24"/>
        </w:rPr>
      </w:pPr>
    </w:p>
    <w:p w14:paraId="1289CBB0"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Avoid contaminating surfaces with blood and bodily fluids.</w:t>
      </w:r>
    </w:p>
    <w:p w14:paraId="4B57E226" w14:textId="77777777" w:rsidR="005566A2" w:rsidRDefault="005566A2">
      <w:pPr>
        <w:pBdr>
          <w:top w:val="nil"/>
          <w:left w:val="nil"/>
          <w:bottom w:val="nil"/>
          <w:right w:val="nil"/>
          <w:between w:val="nil"/>
        </w:pBdr>
        <w:spacing w:after="0"/>
        <w:ind w:left="720"/>
        <w:jc w:val="both"/>
        <w:rPr>
          <w:color w:val="000000"/>
          <w:sz w:val="24"/>
          <w:szCs w:val="24"/>
        </w:rPr>
      </w:pPr>
    </w:p>
    <w:p w14:paraId="058BA306" w14:textId="1E868106"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Commence decontamination procedures immediately after contamination </w:t>
      </w:r>
      <w:r w:rsidR="00BD3A6B">
        <w:rPr>
          <w:color w:val="000000"/>
          <w:sz w:val="24"/>
          <w:szCs w:val="24"/>
        </w:rPr>
        <w:t>occurs or</w:t>
      </w:r>
      <w:r>
        <w:rPr>
          <w:color w:val="000000"/>
          <w:sz w:val="24"/>
          <w:szCs w:val="24"/>
        </w:rPr>
        <w:t xml:space="preserve"> is observed.</w:t>
      </w:r>
    </w:p>
    <w:p w14:paraId="58F9E123" w14:textId="77777777" w:rsidR="005566A2" w:rsidRDefault="005566A2">
      <w:pPr>
        <w:pBdr>
          <w:top w:val="nil"/>
          <w:left w:val="nil"/>
          <w:bottom w:val="nil"/>
          <w:right w:val="nil"/>
          <w:between w:val="nil"/>
        </w:pBdr>
        <w:spacing w:after="0"/>
        <w:ind w:left="720"/>
        <w:jc w:val="both"/>
        <w:rPr>
          <w:color w:val="000000"/>
          <w:sz w:val="24"/>
          <w:szCs w:val="24"/>
        </w:rPr>
      </w:pPr>
    </w:p>
    <w:p w14:paraId="053EF241" w14:textId="778DDDBC"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Dispose of contaminated biological waste (</w:t>
      </w:r>
      <w:r w:rsidR="00B5729A">
        <w:rPr>
          <w:color w:val="000000"/>
          <w:sz w:val="24"/>
          <w:szCs w:val="24"/>
        </w:rPr>
        <w:t>e.g.,</w:t>
      </w:r>
      <w:r>
        <w:rPr>
          <w:color w:val="000000"/>
          <w:sz w:val="24"/>
          <w:szCs w:val="24"/>
        </w:rPr>
        <w:t xml:space="preserve"> solid, liquid, </w:t>
      </w:r>
      <w:r w:rsidR="00B5729A">
        <w:rPr>
          <w:color w:val="000000"/>
          <w:sz w:val="24"/>
          <w:szCs w:val="24"/>
        </w:rPr>
        <w:t>Genetically Modified</w:t>
      </w:r>
      <w:r>
        <w:rPr>
          <w:color w:val="000000"/>
          <w:sz w:val="24"/>
          <w:szCs w:val="24"/>
        </w:rPr>
        <w:t>, GM) in accordance with specified and documented local procedures. Here, individuals are referred to their local safety statements, which should issue clear guidelines pertinent to the proper disposal of hazardous waste.</w:t>
      </w:r>
    </w:p>
    <w:p w14:paraId="5AE068BA" w14:textId="77777777" w:rsidR="005566A2" w:rsidRDefault="005566A2">
      <w:pPr>
        <w:pBdr>
          <w:top w:val="nil"/>
          <w:left w:val="nil"/>
          <w:bottom w:val="nil"/>
          <w:right w:val="nil"/>
          <w:between w:val="nil"/>
        </w:pBdr>
        <w:spacing w:after="0"/>
        <w:ind w:left="720"/>
        <w:jc w:val="both"/>
        <w:rPr>
          <w:color w:val="000000"/>
          <w:sz w:val="24"/>
          <w:szCs w:val="24"/>
        </w:rPr>
      </w:pPr>
    </w:p>
    <w:p w14:paraId="6E1E7B7D"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Appropriate and multiple Biohazard waste disposal bins (for Biohazardous sharp material, such as syringes, glass etc.) must be provided in all locations where work with Biological Agents is to be undertaken. These individual units must be filled to the recommended level, as indicated on the container by a dashed line.  Overfilling must be avoided at all times, and individuals should not attempt to reduce the height of accumulated waste by depressing, as this presents a high risk of receiving a needlestick injury / laceration.</w:t>
      </w:r>
    </w:p>
    <w:p w14:paraId="22745509" w14:textId="77777777" w:rsidR="005566A2" w:rsidRDefault="005566A2">
      <w:pPr>
        <w:pBdr>
          <w:top w:val="nil"/>
          <w:left w:val="nil"/>
          <w:bottom w:val="nil"/>
          <w:right w:val="nil"/>
          <w:between w:val="nil"/>
        </w:pBdr>
        <w:spacing w:after="0"/>
        <w:ind w:left="720"/>
        <w:jc w:val="both"/>
        <w:rPr>
          <w:color w:val="000000"/>
          <w:sz w:val="24"/>
          <w:szCs w:val="24"/>
        </w:rPr>
      </w:pPr>
    </w:p>
    <w:p w14:paraId="63EF0007"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 xml:space="preserve">Biohazard waste disposal bins should be secure and identifiable according to the second schedule of the Biological Agents Regulations, 2013.  These bins should be replaced on a regular basis, and those members of staff required to handle these bins in a safe manner should receive adequate information, training and vaccination to ensure a Safe System of Work can be adhered to.  Needles </w:t>
      </w:r>
      <w:r>
        <w:rPr>
          <w:b/>
          <w:color w:val="000000"/>
          <w:sz w:val="24"/>
          <w:szCs w:val="24"/>
        </w:rPr>
        <w:t>must not</w:t>
      </w:r>
      <w:r>
        <w:rPr>
          <w:color w:val="000000"/>
          <w:sz w:val="24"/>
          <w:szCs w:val="24"/>
        </w:rPr>
        <w:t xml:space="preserve"> be re-sheathed. </w:t>
      </w:r>
    </w:p>
    <w:p w14:paraId="62E0EA80" w14:textId="77777777" w:rsidR="005566A2" w:rsidRDefault="005566A2">
      <w:pPr>
        <w:pBdr>
          <w:top w:val="nil"/>
          <w:left w:val="nil"/>
          <w:bottom w:val="nil"/>
          <w:right w:val="nil"/>
          <w:between w:val="nil"/>
        </w:pBdr>
        <w:spacing w:after="0"/>
        <w:ind w:left="720"/>
        <w:jc w:val="both"/>
        <w:rPr>
          <w:color w:val="000000"/>
          <w:sz w:val="24"/>
          <w:szCs w:val="24"/>
        </w:rPr>
      </w:pPr>
    </w:p>
    <w:p w14:paraId="69912829" w14:textId="77777777" w:rsidR="005566A2" w:rsidRDefault="00325BB5">
      <w:pPr>
        <w:numPr>
          <w:ilvl w:val="0"/>
          <w:numId w:val="12"/>
        </w:numPr>
        <w:pBdr>
          <w:top w:val="nil"/>
          <w:left w:val="nil"/>
          <w:bottom w:val="nil"/>
          <w:right w:val="nil"/>
          <w:between w:val="nil"/>
        </w:pBdr>
        <w:spacing w:after="0"/>
        <w:ind w:left="720"/>
        <w:jc w:val="both"/>
        <w:rPr>
          <w:color w:val="000000"/>
          <w:sz w:val="24"/>
          <w:szCs w:val="24"/>
        </w:rPr>
      </w:pPr>
      <w:r>
        <w:rPr>
          <w:color w:val="000000"/>
          <w:sz w:val="24"/>
          <w:szCs w:val="24"/>
        </w:rPr>
        <w:t>All staff likely to be exposed to Biological Agents must be trained to work safely with Biological Agents, through attending SafeLab Module and Module BE550, coordinated through the School of Biotechnology.</w:t>
      </w:r>
    </w:p>
    <w:p w14:paraId="00BE89CF" w14:textId="77777777" w:rsidR="005566A2" w:rsidRDefault="005566A2">
      <w:pPr>
        <w:pBdr>
          <w:top w:val="nil"/>
          <w:left w:val="nil"/>
          <w:bottom w:val="nil"/>
          <w:right w:val="nil"/>
          <w:between w:val="nil"/>
        </w:pBdr>
        <w:spacing w:after="0"/>
        <w:ind w:left="720"/>
        <w:jc w:val="both"/>
        <w:rPr>
          <w:color w:val="000000"/>
          <w:sz w:val="24"/>
          <w:szCs w:val="24"/>
        </w:rPr>
      </w:pPr>
    </w:p>
    <w:p w14:paraId="28B986AB" w14:textId="77777777" w:rsidR="005566A2" w:rsidRDefault="00325BB5">
      <w:pPr>
        <w:numPr>
          <w:ilvl w:val="0"/>
          <w:numId w:val="12"/>
        </w:numPr>
        <w:pBdr>
          <w:top w:val="nil"/>
          <w:left w:val="nil"/>
          <w:bottom w:val="nil"/>
          <w:right w:val="nil"/>
          <w:between w:val="nil"/>
        </w:pBdr>
        <w:ind w:left="720"/>
        <w:jc w:val="both"/>
        <w:rPr>
          <w:color w:val="000000"/>
          <w:sz w:val="24"/>
          <w:szCs w:val="24"/>
        </w:rPr>
      </w:pPr>
      <w:r>
        <w:rPr>
          <w:color w:val="000000"/>
          <w:sz w:val="24"/>
          <w:szCs w:val="24"/>
        </w:rPr>
        <w:t xml:space="preserve">No food or drink shall be consumed in any area where there may be a risk of exposure to blood-borne viruses and other hazardous Biological Agents. </w:t>
      </w:r>
    </w:p>
    <w:p w14:paraId="70701800" w14:textId="77777777" w:rsidR="005566A2" w:rsidRDefault="005566A2">
      <w:pPr>
        <w:jc w:val="both"/>
      </w:pPr>
    </w:p>
    <w:p w14:paraId="1755A117" w14:textId="77777777" w:rsidR="005566A2" w:rsidRDefault="00325BB5">
      <w:r>
        <w:rPr>
          <w:b/>
        </w:rPr>
        <w:t>1.1</w:t>
      </w:r>
      <w:r>
        <w:tab/>
      </w:r>
      <w:r>
        <w:rPr>
          <w:b/>
          <w:sz w:val="24"/>
          <w:szCs w:val="24"/>
        </w:rPr>
        <w:t>Cleaning and Disinfection</w:t>
      </w:r>
      <w:r>
        <w:t xml:space="preserve"> </w:t>
      </w:r>
    </w:p>
    <w:p w14:paraId="4B11AC92" w14:textId="77777777" w:rsidR="005566A2" w:rsidRDefault="00325BB5">
      <w:pPr>
        <w:ind w:left="720"/>
        <w:jc w:val="both"/>
        <w:rPr>
          <w:sz w:val="24"/>
          <w:szCs w:val="24"/>
        </w:rPr>
      </w:pPr>
      <w:r>
        <w:rPr>
          <w:sz w:val="24"/>
          <w:szCs w:val="24"/>
        </w:rPr>
        <w:t xml:space="preserve">Spillages of blood or other bodily fluids must be properly managed, to reduce the risk of the individual – or other individuals working in proximity to the area – being exposed to a potential biohazard. </w:t>
      </w:r>
    </w:p>
    <w:p w14:paraId="0016463E" w14:textId="77777777" w:rsidR="005566A2" w:rsidRDefault="00325BB5">
      <w:pPr>
        <w:ind w:left="720"/>
        <w:jc w:val="both"/>
        <w:rPr>
          <w:sz w:val="24"/>
          <w:szCs w:val="24"/>
        </w:rPr>
      </w:pPr>
      <w:r>
        <w:rPr>
          <w:sz w:val="24"/>
          <w:szCs w:val="24"/>
        </w:rPr>
        <w:t>Biohazard spillages should be managed in accordance with specified and documented local procedures.  Here, individuals are referred to their local safety statements, which should issue clear guidelines pertinent to the proper management of biological spillages (inclusive of blood and bodily fluids).</w:t>
      </w:r>
    </w:p>
    <w:p w14:paraId="71916CE5" w14:textId="77777777" w:rsidR="005566A2" w:rsidRDefault="005566A2">
      <w:pPr>
        <w:jc w:val="both"/>
      </w:pPr>
    </w:p>
    <w:p w14:paraId="730B8C1E" w14:textId="77777777" w:rsidR="005566A2" w:rsidRDefault="00325BB5">
      <w:pPr>
        <w:jc w:val="both"/>
        <w:rPr>
          <w:sz w:val="24"/>
          <w:szCs w:val="24"/>
        </w:rPr>
      </w:pPr>
      <w:r>
        <w:rPr>
          <w:b/>
          <w:sz w:val="24"/>
          <w:szCs w:val="24"/>
        </w:rPr>
        <w:t>1.2</w:t>
      </w:r>
      <w:r>
        <w:rPr>
          <w:b/>
          <w:sz w:val="24"/>
          <w:szCs w:val="24"/>
        </w:rPr>
        <w:tab/>
        <w:t xml:space="preserve">Gloves and skin protection </w:t>
      </w:r>
    </w:p>
    <w:p w14:paraId="1D0B5D5A" w14:textId="77777777" w:rsidR="005566A2" w:rsidRDefault="00325BB5">
      <w:pPr>
        <w:ind w:left="720"/>
        <w:jc w:val="both"/>
      </w:pPr>
      <w:r>
        <w:rPr>
          <w:sz w:val="24"/>
          <w:szCs w:val="24"/>
        </w:rPr>
        <w:t>Guidelines on the correct use of gloves (which confer skin protection, if used correctly) should be managed in accordance with specified and documented local procedures. Here, individuals are referred to their local safety statements, which should issue clear guidelines pertinent to the proper use of personal protective equipment (PPE).</w:t>
      </w:r>
    </w:p>
    <w:p w14:paraId="16B521BE" w14:textId="77777777" w:rsidR="009B2385" w:rsidRPr="00540E0A" w:rsidRDefault="009B2385" w:rsidP="009B2385">
      <w:pPr>
        <w:pStyle w:val="Heading1"/>
        <w:rPr>
          <w:rFonts w:asciiTheme="minorHAnsi" w:hAnsiTheme="minorHAnsi" w:cstheme="minorHAnsi"/>
          <w:i/>
          <w:sz w:val="20"/>
          <w:szCs w:val="20"/>
        </w:rPr>
      </w:pPr>
      <w:bookmarkStart w:id="1" w:name="_Toc120618691"/>
      <w:r w:rsidRPr="00540E0A">
        <w:rPr>
          <w:rFonts w:asciiTheme="minorHAnsi" w:hAnsiTheme="minorHAnsi" w:cstheme="minorHAnsi"/>
          <w:b/>
          <w:color w:val="0070C0"/>
        </w:rPr>
        <w:t>Version Control</w:t>
      </w:r>
      <w:bookmarkEnd w:id="1"/>
      <w:r w:rsidRPr="00540E0A">
        <w:rPr>
          <w:rFonts w:asciiTheme="minorHAnsi" w:eastAsia="Calibri" w:hAnsiTheme="minorHAnsi" w:cstheme="minorHAnsi"/>
          <w:b/>
          <w:color w:val="0070C0"/>
        </w:rPr>
        <w:t xml:space="preserve"> </w:t>
      </w:r>
    </w:p>
    <w:tbl>
      <w:tblPr>
        <w:tblStyle w:val="TableGrid"/>
        <w:tblW w:w="9040" w:type="dxa"/>
        <w:tblLook w:val="04A0" w:firstRow="1" w:lastRow="0" w:firstColumn="1" w:lastColumn="0" w:noHBand="0" w:noVBand="1"/>
      </w:tblPr>
      <w:tblGrid>
        <w:gridCol w:w="2405"/>
        <w:gridCol w:w="6635"/>
      </w:tblGrid>
      <w:tr w:rsidR="009B2385" w14:paraId="37568B11" w14:textId="77777777" w:rsidTr="00A75233">
        <w:tc>
          <w:tcPr>
            <w:tcW w:w="2405" w:type="dxa"/>
          </w:tcPr>
          <w:p w14:paraId="3DDC33FD" w14:textId="77777777" w:rsidR="009B2385" w:rsidRDefault="009B2385" w:rsidP="00A75233">
            <w:r w:rsidRPr="00B62FC5">
              <w:rPr>
                <w:b/>
                <w:sz w:val="24"/>
                <w:szCs w:val="24"/>
              </w:rPr>
              <w:t>Policy Name</w:t>
            </w:r>
          </w:p>
        </w:tc>
        <w:tc>
          <w:tcPr>
            <w:tcW w:w="6635" w:type="dxa"/>
          </w:tcPr>
          <w:p w14:paraId="43C35311" w14:textId="77777777" w:rsidR="009B2385" w:rsidRPr="005329E8" w:rsidRDefault="009B2385" w:rsidP="00A75233">
            <w:pPr>
              <w:rPr>
                <w:sz w:val="24"/>
                <w:szCs w:val="24"/>
              </w:rPr>
            </w:pPr>
            <w:r w:rsidRPr="005329E8">
              <w:rPr>
                <w:sz w:val="24"/>
                <w:szCs w:val="24"/>
              </w:rPr>
              <w:t xml:space="preserve">The Management of Inoculation (Sharps) Injury or Blood-Borne Pathogen Exposure Policy </w:t>
            </w:r>
            <w:r w:rsidRPr="005329E8">
              <w:rPr>
                <w:color w:val="000000"/>
                <w:sz w:val="24"/>
                <w:szCs w:val="24"/>
              </w:rPr>
              <w:t>for DCU Undergraduate Students</w:t>
            </w:r>
          </w:p>
        </w:tc>
      </w:tr>
      <w:tr w:rsidR="009B2385" w14:paraId="1D94F769" w14:textId="77777777" w:rsidTr="00A75233">
        <w:tc>
          <w:tcPr>
            <w:tcW w:w="2405" w:type="dxa"/>
          </w:tcPr>
          <w:p w14:paraId="0E21E77E" w14:textId="77777777" w:rsidR="009B2385" w:rsidRDefault="009B2385" w:rsidP="00A75233">
            <w:r w:rsidRPr="00B62FC5">
              <w:rPr>
                <w:b/>
                <w:sz w:val="24"/>
                <w:szCs w:val="24"/>
              </w:rPr>
              <w:t xml:space="preserve">Unit Owner </w:t>
            </w:r>
          </w:p>
        </w:tc>
        <w:tc>
          <w:tcPr>
            <w:tcW w:w="6635" w:type="dxa"/>
          </w:tcPr>
          <w:p w14:paraId="45BA77DB" w14:textId="77777777" w:rsidR="009B2385" w:rsidRPr="005329E8" w:rsidRDefault="009B2385" w:rsidP="00A75233">
            <w:pPr>
              <w:rPr>
                <w:sz w:val="24"/>
                <w:szCs w:val="24"/>
              </w:rPr>
            </w:pPr>
            <w:r w:rsidRPr="005329E8">
              <w:rPr>
                <w:sz w:val="24"/>
                <w:szCs w:val="24"/>
              </w:rPr>
              <w:t>Faculty of Science &amp; Health</w:t>
            </w:r>
          </w:p>
        </w:tc>
      </w:tr>
      <w:tr w:rsidR="009B2385" w14:paraId="58D2899E" w14:textId="77777777" w:rsidTr="00A75233">
        <w:tc>
          <w:tcPr>
            <w:tcW w:w="2405" w:type="dxa"/>
          </w:tcPr>
          <w:p w14:paraId="76E42B5E" w14:textId="77777777" w:rsidR="009B2385" w:rsidRDefault="009B2385" w:rsidP="00A75233">
            <w:r w:rsidRPr="00B62FC5">
              <w:rPr>
                <w:b/>
                <w:sz w:val="24"/>
                <w:szCs w:val="24"/>
              </w:rPr>
              <w:t>Version Reference</w:t>
            </w:r>
          </w:p>
        </w:tc>
        <w:tc>
          <w:tcPr>
            <w:tcW w:w="6635" w:type="dxa"/>
          </w:tcPr>
          <w:p w14:paraId="2A60A624" w14:textId="77777777" w:rsidR="009B2385" w:rsidRPr="005329E8" w:rsidRDefault="009B2385" w:rsidP="00A75233">
            <w:pPr>
              <w:rPr>
                <w:bCs/>
                <w:sz w:val="24"/>
                <w:szCs w:val="24"/>
              </w:rPr>
            </w:pPr>
            <w:r w:rsidRPr="005329E8">
              <w:rPr>
                <w:bCs/>
                <w:sz w:val="24"/>
                <w:szCs w:val="24"/>
              </w:rPr>
              <w:t xml:space="preserve">Original </w:t>
            </w:r>
            <w:r>
              <w:rPr>
                <w:bCs/>
                <w:sz w:val="24"/>
                <w:szCs w:val="24"/>
              </w:rPr>
              <w:t xml:space="preserve">- </w:t>
            </w:r>
            <w:r w:rsidRPr="005329E8">
              <w:rPr>
                <w:bCs/>
                <w:sz w:val="24"/>
                <w:szCs w:val="24"/>
              </w:rPr>
              <w:t>V1.0</w:t>
            </w:r>
          </w:p>
        </w:tc>
      </w:tr>
      <w:tr w:rsidR="009B2385" w14:paraId="28F4CB45" w14:textId="77777777" w:rsidTr="00A75233">
        <w:tc>
          <w:tcPr>
            <w:tcW w:w="2405" w:type="dxa"/>
          </w:tcPr>
          <w:p w14:paraId="1FF66ABC" w14:textId="77777777" w:rsidR="009B2385" w:rsidRDefault="009B2385" w:rsidP="00A75233">
            <w:r w:rsidRPr="00B62FC5">
              <w:rPr>
                <w:b/>
                <w:sz w:val="24"/>
                <w:szCs w:val="24"/>
              </w:rPr>
              <w:t>Approved by</w:t>
            </w:r>
          </w:p>
        </w:tc>
        <w:tc>
          <w:tcPr>
            <w:tcW w:w="6635" w:type="dxa"/>
          </w:tcPr>
          <w:p w14:paraId="4B697D32" w14:textId="77777777" w:rsidR="009B2385" w:rsidRPr="005329E8" w:rsidRDefault="009B2385" w:rsidP="00A75233">
            <w:pPr>
              <w:rPr>
                <w:sz w:val="24"/>
                <w:szCs w:val="24"/>
              </w:rPr>
            </w:pPr>
            <w:r>
              <w:rPr>
                <w:sz w:val="24"/>
                <w:szCs w:val="24"/>
              </w:rPr>
              <w:t xml:space="preserve">Executive </w:t>
            </w:r>
          </w:p>
        </w:tc>
      </w:tr>
      <w:tr w:rsidR="009B2385" w14:paraId="3D67B466" w14:textId="77777777" w:rsidTr="00A75233">
        <w:tc>
          <w:tcPr>
            <w:tcW w:w="2405" w:type="dxa"/>
          </w:tcPr>
          <w:p w14:paraId="5226E351" w14:textId="77777777" w:rsidR="009B2385" w:rsidRDefault="009B2385" w:rsidP="00A75233">
            <w:r w:rsidRPr="00B62FC5">
              <w:rPr>
                <w:b/>
                <w:sz w:val="24"/>
                <w:szCs w:val="24"/>
              </w:rPr>
              <w:t>Effective Date</w:t>
            </w:r>
          </w:p>
        </w:tc>
        <w:tc>
          <w:tcPr>
            <w:tcW w:w="6635" w:type="dxa"/>
          </w:tcPr>
          <w:p w14:paraId="38EB7EAE" w14:textId="77777777" w:rsidR="009B2385" w:rsidRPr="005329E8" w:rsidRDefault="009B2385" w:rsidP="00A75233">
            <w:pPr>
              <w:rPr>
                <w:sz w:val="24"/>
                <w:szCs w:val="24"/>
              </w:rPr>
            </w:pPr>
            <w:r>
              <w:rPr>
                <w:sz w:val="24"/>
                <w:szCs w:val="24"/>
              </w:rPr>
              <w:t>10</w:t>
            </w:r>
            <w:r w:rsidRPr="00AA53D0">
              <w:rPr>
                <w:sz w:val="24"/>
                <w:szCs w:val="24"/>
                <w:vertAlign w:val="superscript"/>
              </w:rPr>
              <w:t>th</w:t>
            </w:r>
            <w:r>
              <w:rPr>
                <w:sz w:val="24"/>
                <w:szCs w:val="24"/>
              </w:rPr>
              <w:t xml:space="preserve"> January 2023</w:t>
            </w:r>
          </w:p>
        </w:tc>
      </w:tr>
    </w:tbl>
    <w:p w14:paraId="58090250" w14:textId="77777777" w:rsidR="005566A2" w:rsidRDefault="005566A2"/>
    <w:sectPr w:rsidR="005566A2" w:rsidSect="009B2385">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1D13" w14:textId="77777777" w:rsidR="009E5537" w:rsidRDefault="009E5537">
      <w:pPr>
        <w:spacing w:after="0" w:line="240" w:lineRule="auto"/>
      </w:pPr>
      <w:r>
        <w:separator/>
      </w:r>
    </w:p>
  </w:endnote>
  <w:endnote w:type="continuationSeparator" w:id="0">
    <w:p w14:paraId="6E80D5AF" w14:textId="77777777" w:rsidR="009E5537" w:rsidRDefault="009E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09F2" w14:textId="77777777" w:rsidR="008366EF" w:rsidRDefault="0083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B7A" w14:textId="1E030325" w:rsidR="00EB339E" w:rsidRDefault="00EB339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0F2C">
      <w:rPr>
        <w:noProof/>
        <w:color w:val="000000"/>
      </w:rPr>
      <w:t>5</w:t>
    </w:r>
    <w:r>
      <w:rPr>
        <w:color w:val="000000"/>
      </w:rPr>
      <w:fldChar w:fldCharType="end"/>
    </w:r>
    <w:r>
      <w:rPr>
        <w:color w:val="000000"/>
      </w:rPr>
      <w:t xml:space="preserve"> | </w:t>
    </w:r>
    <w:r w:rsidRPr="003E2C3C">
      <w:t>Page</w:t>
    </w:r>
  </w:p>
  <w:p w14:paraId="7CA4F369" w14:textId="77777777" w:rsidR="00EB339E" w:rsidRDefault="00EB339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B550" w14:textId="77777777" w:rsidR="008366EF" w:rsidRDefault="0083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C26F" w14:textId="77777777" w:rsidR="009E5537" w:rsidRDefault="009E5537">
      <w:pPr>
        <w:spacing w:after="0" w:line="240" w:lineRule="auto"/>
      </w:pPr>
      <w:r>
        <w:separator/>
      </w:r>
    </w:p>
  </w:footnote>
  <w:footnote w:type="continuationSeparator" w:id="0">
    <w:p w14:paraId="5C37F402" w14:textId="77777777" w:rsidR="009E5537" w:rsidRDefault="009E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63BD" w14:textId="69D8C4C8" w:rsidR="008366EF" w:rsidRDefault="00836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29E" w14:textId="3C022BE3" w:rsidR="00EB339E" w:rsidRDefault="009B2385">
    <w:pPr>
      <w:pBdr>
        <w:top w:val="nil"/>
        <w:left w:val="nil"/>
        <w:bottom w:val="nil"/>
        <w:right w:val="nil"/>
        <w:between w:val="nil"/>
      </w:pBdr>
      <w:tabs>
        <w:tab w:val="center" w:pos="4513"/>
        <w:tab w:val="right" w:pos="9026"/>
      </w:tabs>
      <w:spacing w:after="0" w:line="240" w:lineRule="auto"/>
      <w:rPr>
        <w:color w:val="000000"/>
      </w:rPr>
    </w:pPr>
    <w:sdt>
      <w:sdtPr>
        <w:tag w:val="goog_rdk_2"/>
        <w:id w:val="-323972824"/>
      </w:sdtPr>
      <w:sdtEndPr/>
      <w:sdtContent/>
    </w:sdt>
    <w:r w:rsidR="00EB339E">
      <w:rPr>
        <w:noProof/>
        <w:color w:val="000000"/>
        <w:sz w:val="96"/>
        <w:szCs w:val="96"/>
      </w:rPr>
      <w:drawing>
        <wp:inline distT="0" distB="0" distL="0" distR="0" wp14:anchorId="2E4418C6" wp14:editId="4A5793A0">
          <wp:extent cx="628650" cy="685885"/>
          <wp:effectExtent l="0" t="0" r="0" b="0"/>
          <wp:docPr id="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28650" cy="685885"/>
                  </a:xfrm>
                  <a:prstGeom prst="rect">
                    <a:avLst/>
                  </a:prstGeom>
                  <a:ln/>
                </pic:spPr>
              </pic:pic>
            </a:graphicData>
          </a:graphic>
        </wp:inline>
      </w:drawing>
    </w:r>
  </w:p>
  <w:p w14:paraId="6E8C6326" w14:textId="77777777" w:rsidR="00EB339E" w:rsidRDefault="00EB339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5281" w14:textId="17671D39" w:rsidR="008366EF" w:rsidRDefault="00836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202"/>
    <w:multiLevelType w:val="multilevel"/>
    <w:tmpl w:val="A26A3F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3F3B52"/>
    <w:multiLevelType w:val="multilevel"/>
    <w:tmpl w:val="F86618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8F614C0"/>
    <w:multiLevelType w:val="hybridMultilevel"/>
    <w:tmpl w:val="7C5E9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96B60"/>
    <w:multiLevelType w:val="multilevel"/>
    <w:tmpl w:val="41D2A70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38DB5C5D"/>
    <w:multiLevelType w:val="multilevel"/>
    <w:tmpl w:val="2D547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E0046"/>
    <w:multiLevelType w:val="hybridMultilevel"/>
    <w:tmpl w:val="D42648BA"/>
    <w:lvl w:ilvl="0" w:tplc="99666A6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1CA2A9D"/>
    <w:multiLevelType w:val="multilevel"/>
    <w:tmpl w:val="294C96F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0A0653"/>
    <w:multiLevelType w:val="multilevel"/>
    <w:tmpl w:val="089EED98"/>
    <w:lvl w:ilvl="0">
      <w:start w:val="1"/>
      <w:numFmt w:val="decimal"/>
      <w:lvlText w:val="%1)"/>
      <w:lvlJc w:val="left"/>
      <w:pPr>
        <w:ind w:left="360" w:hanging="360"/>
      </w:pPr>
      <w:rPr>
        <w:b/>
        <w:bCs/>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3AC5F7B"/>
    <w:multiLevelType w:val="multilevel"/>
    <w:tmpl w:val="903E0B8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466C5856"/>
    <w:multiLevelType w:val="multilevel"/>
    <w:tmpl w:val="287EC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2C3358"/>
    <w:multiLevelType w:val="multilevel"/>
    <w:tmpl w:val="E1BEE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003B33"/>
    <w:multiLevelType w:val="multilevel"/>
    <w:tmpl w:val="97925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0C148C"/>
    <w:multiLevelType w:val="multilevel"/>
    <w:tmpl w:val="DADCEB8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71801323"/>
    <w:multiLevelType w:val="multilevel"/>
    <w:tmpl w:val="C6343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1E5E9D"/>
    <w:multiLevelType w:val="hybridMultilevel"/>
    <w:tmpl w:val="D85613E4"/>
    <w:lvl w:ilvl="0" w:tplc="08090001">
      <w:start w:val="1"/>
      <w:numFmt w:val="bullet"/>
      <w:lvlText w:val=""/>
      <w:lvlJc w:val="left"/>
      <w:pPr>
        <w:ind w:left="34" w:hanging="360"/>
      </w:pPr>
      <w:rPr>
        <w:rFonts w:ascii="Symbol" w:hAnsi="Symbol" w:hint="default"/>
      </w:rPr>
    </w:lvl>
    <w:lvl w:ilvl="1" w:tplc="08090003" w:tentative="1">
      <w:start w:val="1"/>
      <w:numFmt w:val="bullet"/>
      <w:lvlText w:val="o"/>
      <w:lvlJc w:val="left"/>
      <w:pPr>
        <w:ind w:left="754" w:hanging="360"/>
      </w:pPr>
      <w:rPr>
        <w:rFonts w:ascii="Courier New" w:hAnsi="Courier New" w:cs="Courier New" w:hint="default"/>
      </w:rPr>
    </w:lvl>
    <w:lvl w:ilvl="2" w:tplc="08090005" w:tentative="1">
      <w:start w:val="1"/>
      <w:numFmt w:val="bullet"/>
      <w:lvlText w:val=""/>
      <w:lvlJc w:val="left"/>
      <w:pPr>
        <w:ind w:left="1474" w:hanging="360"/>
      </w:pPr>
      <w:rPr>
        <w:rFonts w:ascii="Wingdings" w:hAnsi="Wingdings" w:hint="default"/>
      </w:rPr>
    </w:lvl>
    <w:lvl w:ilvl="3" w:tplc="08090001" w:tentative="1">
      <w:start w:val="1"/>
      <w:numFmt w:val="bullet"/>
      <w:lvlText w:val=""/>
      <w:lvlJc w:val="left"/>
      <w:pPr>
        <w:ind w:left="2194" w:hanging="360"/>
      </w:pPr>
      <w:rPr>
        <w:rFonts w:ascii="Symbol" w:hAnsi="Symbol" w:hint="default"/>
      </w:rPr>
    </w:lvl>
    <w:lvl w:ilvl="4" w:tplc="08090003" w:tentative="1">
      <w:start w:val="1"/>
      <w:numFmt w:val="bullet"/>
      <w:lvlText w:val="o"/>
      <w:lvlJc w:val="left"/>
      <w:pPr>
        <w:ind w:left="2914" w:hanging="360"/>
      </w:pPr>
      <w:rPr>
        <w:rFonts w:ascii="Courier New" w:hAnsi="Courier New" w:cs="Courier New" w:hint="default"/>
      </w:rPr>
    </w:lvl>
    <w:lvl w:ilvl="5" w:tplc="08090005" w:tentative="1">
      <w:start w:val="1"/>
      <w:numFmt w:val="bullet"/>
      <w:lvlText w:val=""/>
      <w:lvlJc w:val="left"/>
      <w:pPr>
        <w:ind w:left="3634" w:hanging="360"/>
      </w:pPr>
      <w:rPr>
        <w:rFonts w:ascii="Wingdings" w:hAnsi="Wingdings" w:hint="default"/>
      </w:rPr>
    </w:lvl>
    <w:lvl w:ilvl="6" w:tplc="08090001" w:tentative="1">
      <w:start w:val="1"/>
      <w:numFmt w:val="bullet"/>
      <w:lvlText w:val=""/>
      <w:lvlJc w:val="left"/>
      <w:pPr>
        <w:ind w:left="4354" w:hanging="360"/>
      </w:pPr>
      <w:rPr>
        <w:rFonts w:ascii="Symbol" w:hAnsi="Symbol" w:hint="default"/>
      </w:rPr>
    </w:lvl>
    <w:lvl w:ilvl="7" w:tplc="08090003" w:tentative="1">
      <w:start w:val="1"/>
      <w:numFmt w:val="bullet"/>
      <w:lvlText w:val="o"/>
      <w:lvlJc w:val="left"/>
      <w:pPr>
        <w:ind w:left="5074" w:hanging="360"/>
      </w:pPr>
      <w:rPr>
        <w:rFonts w:ascii="Courier New" w:hAnsi="Courier New" w:cs="Courier New" w:hint="default"/>
      </w:rPr>
    </w:lvl>
    <w:lvl w:ilvl="8" w:tplc="08090005" w:tentative="1">
      <w:start w:val="1"/>
      <w:numFmt w:val="bullet"/>
      <w:lvlText w:val=""/>
      <w:lvlJc w:val="left"/>
      <w:pPr>
        <w:ind w:left="5794" w:hanging="360"/>
      </w:pPr>
      <w:rPr>
        <w:rFonts w:ascii="Wingdings" w:hAnsi="Wingdings" w:hint="default"/>
      </w:rPr>
    </w:lvl>
  </w:abstractNum>
  <w:num w:numId="1" w16cid:durableId="2024933972">
    <w:abstractNumId w:val="4"/>
  </w:num>
  <w:num w:numId="2" w16cid:durableId="1365449062">
    <w:abstractNumId w:val="13"/>
  </w:num>
  <w:num w:numId="3" w16cid:durableId="1383362047">
    <w:abstractNumId w:val="1"/>
  </w:num>
  <w:num w:numId="4" w16cid:durableId="103573846">
    <w:abstractNumId w:val="11"/>
  </w:num>
  <w:num w:numId="5" w16cid:durableId="702945547">
    <w:abstractNumId w:val="9"/>
  </w:num>
  <w:num w:numId="6" w16cid:durableId="130173469">
    <w:abstractNumId w:val="7"/>
  </w:num>
  <w:num w:numId="7" w16cid:durableId="1044018512">
    <w:abstractNumId w:val="10"/>
  </w:num>
  <w:num w:numId="8" w16cid:durableId="9992560">
    <w:abstractNumId w:val="3"/>
  </w:num>
  <w:num w:numId="9" w16cid:durableId="1703902745">
    <w:abstractNumId w:val="6"/>
  </w:num>
  <w:num w:numId="10" w16cid:durableId="1950891296">
    <w:abstractNumId w:val="12"/>
  </w:num>
  <w:num w:numId="11" w16cid:durableId="1140459438">
    <w:abstractNumId w:val="8"/>
  </w:num>
  <w:num w:numId="12" w16cid:durableId="949320954">
    <w:abstractNumId w:val="0"/>
  </w:num>
  <w:num w:numId="13" w16cid:durableId="409354954">
    <w:abstractNumId w:val="14"/>
  </w:num>
  <w:num w:numId="14" w16cid:durableId="131794322">
    <w:abstractNumId w:val="2"/>
  </w:num>
  <w:num w:numId="15" w16cid:durableId="195236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A2"/>
    <w:rsid w:val="00090894"/>
    <w:rsid w:val="001615D1"/>
    <w:rsid w:val="001626C5"/>
    <w:rsid w:val="00213176"/>
    <w:rsid w:val="0025318D"/>
    <w:rsid w:val="00282150"/>
    <w:rsid w:val="002D1286"/>
    <w:rsid w:val="002E07C6"/>
    <w:rsid w:val="00325BB5"/>
    <w:rsid w:val="003376B8"/>
    <w:rsid w:val="00381789"/>
    <w:rsid w:val="003C31B4"/>
    <w:rsid w:val="003E2C3C"/>
    <w:rsid w:val="00400DB1"/>
    <w:rsid w:val="00446303"/>
    <w:rsid w:val="004919C8"/>
    <w:rsid w:val="004A557F"/>
    <w:rsid w:val="005329E8"/>
    <w:rsid w:val="00540E0A"/>
    <w:rsid w:val="00541CDE"/>
    <w:rsid w:val="005566A2"/>
    <w:rsid w:val="005B56B8"/>
    <w:rsid w:val="00605A72"/>
    <w:rsid w:val="006F36DB"/>
    <w:rsid w:val="00713EB2"/>
    <w:rsid w:val="007B17F8"/>
    <w:rsid w:val="008366EF"/>
    <w:rsid w:val="00870F08"/>
    <w:rsid w:val="00897C9B"/>
    <w:rsid w:val="008C50C3"/>
    <w:rsid w:val="008F5CAF"/>
    <w:rsid w:val="00906934"/>
    <w:rsid w:val="009B01CF"/>
    <w:rsid w:val="009B2385"/>
    <w:rsid w:val="009B6164"/>
    <w:rsid w:val="009E5537"/>
    <w:rsid w:val="009F475A"/>
    <w:rsid w:val="009F5511"/>
    <w:rsid w:val="00A20F2C"/>
    <w:rsid w:val="00AA53D0"/>
    <w:rsid w:val="00AB6B97"/>
    <w:rsid w:val="00B13EE4"/>
    <w:rsid w:val="00B51950"/>
    <w:rsid w:val="00B5729A"/>
    <w:rsid w:val="00BD3A6B"/>
    <w:rsid w:val="00C56705"/>
    <w:rsid w:val="00D61F7E"/>
    <w:rsid w:val="00D966C5"/>
    <w:rsid w:val="00E10ED9"/>
    <w:rsid w:val="00EB339E"/>
    <w:rsid w:val="00F54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7F806"/>
  <w15:docId w15:val="{C1FE9D79-DC6A-4278-919D-DF49D44E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7E"/>
  </w:style>
  <w:style w:type="paragraph" w:styleId="Heading1">
    <w:name w:val="heading 1"/>
    <w:basedOn w:val="Normal"/>
    <w:next w:val="Normal"/>
    <w:link w:val="Heading1Char"/>
    <w:uiPriority w:val="9"/>
    <w:qFormat/>
    <w:rsid w:val="00201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013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133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0133D"/>
    <w:pPr>
      <w:ind w:left="720"/>
      <w:contextualSpacing/>
    </w:pPr>
  </w:style>
  <w:style w:type="table" w:styleId="TableGrid">
    <w:name w:val="Table Grid"/>
    <w:basedOn w:val="TableNormal"/>
    <w:uiPriority w:val="39"/>
    <w:rsid w:val="001C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7CD"/>
    <w:rPr>
      <w:color w:val="0563C1" w:themeColor="hyperlink"/>
      <w:u w:val="single"/>
    </w:rPr>
  </w:style>
  <w:style w:type="paragraph" w:styleId="Header">
    <w:name w:val="header"/>
    <w:basedOn w:val="Normal"/>
    <w:link w:val="HeaderChar"/>
    <w:uiPriority w:val="99"/>
    <w:unhideWhenUsed/>
    <w:rsid w:val="008D0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1D"/>
  </w:style>
  <w:style w:type="paragraph" w:styleId="Footer">
    <w:name w:val="footer"/>
    <w:basedOn w:val="Normal"/>
    <w:link w:val="FooterChar"/>
    <w:uiPriority w:val="99"/>
    <w:unhideWhenUsed/>
    <w:rsid w:val="008D0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1D"/>
  </w:style>
  <w:style w:type="character" w:styleId="Strong">
    <w:name w:val="Strong"/>
    <w:basedOn w:val="DefaultParagraphFont"/>
    <w:uiPriority w:val="22"/>
    <w:qFormat/>
    <w:rsid w:val="00D059A9"/>
    <w:rPr>
      <w:b/>
      <w:bCs/>
    </w:rPr>
  </w:style>
  <w:style w:type="paragraph" w:styleId="NormalWeb">
    <w:name w:val="Normal (Web)"/>
    <w:basedOn w:val="Normal"/>
    <w:uiPriority w:val="99"/>
    <w:semiHidden/>
    <w:unhideWhenUsed/>
    <w:rsid w:val="000810B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35061"/>
    <w:rPr>
      <w:sz w:val="16"/>
      <w:szCs w:val="16"/>
    </w:rPr>
  </w:style>
  <w:style w:type="paragraph" w:styleId="CommentText">
    <w:name w:val="annotation text"/>
    <w:basedOn w:val="Normal"/>
    <w:link w:val="CommentTextChar"/>
    <w:uiPriority w:val="99"/>
    <w:unhideWhenUsed/>
    <w:rsid w:val="00235061"/>
    <w:pPr>
      <w:spacing w:line="240" w:lineRule="auto"/>
    </w:pPr>
    <w:rPr>
      <w:sz w:val="20"/>
      <w:szCs w:val="20"/>
    </w:rPr>
  </w:style>
  <w:style w:type="character" w:customStyle="1" w:styleId="CommentTextChar">
    <w:name w:val="Comment Text Char"/>
    <w:basedOn w:val="DefaultParagraphFont"/>
    <w:link w:val="CommentText"/>
    <w:uiPriority w:val="99"/>
    <w:rsid w:val="00235061"/>
    <w:rPr>
      <w:sz w:val="20"/>
      <w:szCs w:val="20"/>
    </w:rPr>
  </w:style>
  <w:style w:type="paragraph" w:styleId="CommentSubject">
    <w:name w:val="annotation subject"/>
    <w:basedOn w:val="CommentText"/>
    <w:next w:val="CommentText"/>
    <w:link w:val="CommentSubjectChar"/>
    <w:uiPriority w:val="99"/>
    <w:semiHidden/>
    <w:unhideWhenUsed/>
    <w:rsid w:val="00235061"/>
    <w:rPr>
      <w:b/>
      <w:bCs/>
    </w:rPr>
  </w:style>
  <w:style w:type="character" w:customStyle="1" w:styleId="CommentSubjectChar">
    <w:name w:val="Comment Subject Char"/>
    <w:basedOn w:val="CommentTextChar"/>
    <w:link w:val="CommentSubject"/>
    <w:uiPriority w:val="99"/>
    <w:semiHidden/>
    <w:rsid w:val="00235061"/>
    <w:rPr>
      <w:b/>
      <w:bCs/>
      <w:sz w:val="20"/>
      <w:szCs w:val="20"/>
    </w:rPr>
  </w:style>
  <w:style w:type="paragraph" w:styleId="BalloonText">
    <w:name w:val="Balloon Text"/>
    <w:basedOn w:val="Normal"/>
    <w:link w:val="BalloonTextChar"/>
    <w:uiPriority w:val="99"/>
    <w:semiHidden/>
    <w:unhideWhenUsed/>
    <w:rsid w:val="00235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61"/>
    <w:rPr>
      <w:rFonts w:ascii="Segoe UI" w:hAnsi="Segoe UI" w:cs="Segoe UI"/>
      <w:sz w:val="18"/>
      <w:szCs w:val="18"/>
    </w:rPr>
  </w:style>
  <w:style w:type="paragraph" w:customStyle="1" w:styleId="Default">
    <w:name w:val="Default"/>
    <w:rsid w:val="00271E9B"/>
    <w:pPr>
      <w:autoSpaceDE w:val="0"/>
      <w:autoSpaceDN w:val="0"/>
      <w:adjustRightInd w:val="0"/>
      <w:spacing w:after="0" w:line="240" w:lineRule="auto"/>
    </w:pPr>
    <w:rPr>
      <w:color w:val="000000"/>
      <w:sz w:val="24"/>
      <w:szCs w:val="24"/>
    </w:rPr>
  </w:style>
  <w:style w:type="paragraph" w:styleId="NoSpacing">
    <w:name w:val="No Spacing"/>
    <w:link w:val="NoSpacingChar"/>
    <w:uiPriority w:val="1"/>
    <w:qFormat/>
    <w:rsid w:val="00F02C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2C45"/>
    <w:rPr>
      <w:rFonts w:eastAsiaTheme="minorEastAsia"/>
      <w:lang w:val="en-US"/>
    </w:rPr>
  </w:style>
  <w:style w:type="paragraph" w:styleId="TOCHeading">
    <w:name w:val="TOC Heading"/>
    <w:basedOn w:val="Heading1"/>
    <w:next w:val="Normal"/>
    <w:uiPriority w:val="39"/>
    <w:unhideWhenUsed/>
    <w:qFormat/>
    <w:rsid w:val="00F02C45"/>
    <w:pPr>
      <w:outlineLvl w:val="9"/>
    </w:pPr>
    <w:rPr>
      <w:lang w:val="en-US"/>
    </w:rPr>
  </w:style>
  <w:style w:type="paragraph" w:styleId="TOC1">
    <w:name w:val="toc 1"/>
    <w:basedOn w:val="Normal"/>
    <w:next w:val="Normal"/>
    <w:autoRedefine/>
    <w:uiPriority w:val="39"/>
    <w:unhideWhenUsed/>
    <w:rsid w:val="003376B8"/>
    <w:pPr>
      <w:tabs>
        <w:tab w:val="right" w:pos="9016"/>
      </w:tabs>
      <w:spacing w:after="100"/>
    </w:pPr>
  </w:style>
  <w:style w:type="paragraph" w:styleId="TOC2">
    <w:name w:val="toc 2"/>
    <w:basedOn w:val="Normal"/>
    <w:next w:val="Normal"/>
    <w:autoRedefine/>
    <w:uiPriority w:val="39"/>
    <w:unhideWhenUsed/>
    <w:rsid w:val="00F02C45"/>
    <w:pPr>
      <w:spacing w:after="100"/>
      <w:ind w:left="220"/>
    </w:pPr>
  </w:style>
  <w:style w:type="paragraph" w:styleId="TOC3">
    <w:name w:val="toc 3"/>
    <w:basedOn w:val="Normal"/>
    <w:next w:val="Normal"/>
    <w:autoRedefine/>
    <w:uiPriority w:val="39"/>
    <w:unhideWhenUsed/>
    <w:rsid w:val="005B742A"/>
    <w:pPr>
      <w:spacing w:after="100"/>
      <w:ind w:left="440"/>
    </w:pPr>
    <w:rPr>
      <w:rFonts w:eastAsiaTheme="minorEastAsia" w:cs="Times New Roman"/>
      <w:lang w:val="en-US"/>
    </w:rPr>
  </w:style>
  <w:style w:type="character" w:customStyle="1" w:styleId="UnresolvedMention1">
    <w:name w:val="Unresolved Mention1"/>
    <w:basedOn w:val="DefaultParagraphFont"/>
    <w:uiPriority w:val="99"/>
    <w:semiHidden/>
    <w:unhideWhenUsed/>
    <w:rsid w:val="0051415F"/>
    <w:rPr>
      <w:color w:val="605E5C"/>
      <w:shd w:val="clear" w:color="auto" w:fill="E1DFDD"/>
    </w:rPr>
  </w:style>
  <w:style w:type="character" w:styleId="FollowedHyperlink">
    <w:name w:val="FollowedHyperlink"/>
    <w:basedOn w:val="DefaultParagraphFont"/>
    <w:uiPriority w:val="99"/>
    <w:semiHidden/>
    <w:unhideWhenUsed/>
    <w:rsid w:val="0051415F"/>
    <w:rPr>
      <w:color w:val="954F72" w:themeColor="followedHyperlink"/>
      <w:u w:val="single"/>
    </w:rPr>
  </w:style>
  <w:style w:type="character" w:customStyle="1" w:styleId="il">
    <w:name w:val="il"/>
    <w:basedOn w:val="DefaultParagraphFont"/>
    <w:rsid w:val="00533C39"/>
  </w:style>
  <w:style w:type="character" w:customStyle="1" w:styleId="jpfdse">
    <w:name w:val="jpfdse"/>
    <w:basedOn w:val="DefaultParagraphFont"/>
    <w:rsid w:val="00D24D3A"/>
  </w:style>
  <w:style w:type="character" w:styleId="Emphasis">
    <w:name w:val="Emphasis"/>
    <w:basedOn w:val="DefaultParagraphFont"/>
    <w:uiPriority w:val="20"/>
    <w:qFormat/>
    <w:rsid w:val="003A1DCE"/>
    <w:rPr>
      <w:i/>
      <w:iCs/>
    </w:rPr>
  </w:style>
  <w:style w:type="paragraph" w:styleId="Revision">
    <w:name w:val="Revision"/>
    <w:hidden/>
    <w:uiPriority w:val="99"/>
    <w:semiHidden/>
    <w:rsid w:val="00BF14B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33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2.hse.ie/wellbeing/how-to-wash-your-hand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BFzUFeQO5dn7A8gz5uR21Q+UWA==">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62BAC3-4538-4A97-BF42-1FE856CD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Inoculation (Sharps) &amp; Blood Borne Pathogen Exposure Policy - Students</vt:lpstr>
    </vt:vector>
  </TitlesOfParts>
  <Company>Dublin City University</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Inoculation (Sharps) &amp; Blood Borne Pathogen Exposure Policy - Students</dc:title>
  <dc:creator>Barry Byrne</dc:creator>
  <cp:keywords>Inoculation (Sharps) &amp; Blood Borne Pathogen Exposure Policy - Students</cp:keywords>
  <cp:lastModifiedBy>Noel Prior</cp:lastModifiedBy>
  <cp:revision>3</cp:revision>
  <cp:lastPrinted>2022-10-12T08:41:00Z</cp:lastPrinted>
  <dcterms:created xsi:type="dcterms:W3CDTF">2023-01-30T16:34:00Z</dcterms:created>
  <dcterms:modified xsi:type="dcterms:W3CDTF">2023-01-30T16:36:00Z</dcterms:modified>
</cp:coreProperties>
</file>