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4" w:type="dxa"/>
        <w:tblInd w:w="-459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="00FA6C74" w:rsidTr="00CA70DC">
        <w:trPr>
          <w:cantSplit/>
          <w:trHeight w:val="871"/>
          <w:tblHeader/>
        </w:trPr>
        <w:tc>
          <w:tcPr>
            <w:tcW w:w="10064" w:type="dxa"/>
            <w:gridSpan w:val="2"/>
            <w:shd w:val="clear" w:color="auto" w:fill="E5B8B7" w:themeFill="accent2" w:themeFillTint="66"/>
            <w:vAlign w:val="center"/>
          </w:tcPr>
          <w:p w:rsidR="00E56A1C" w:rsidRDefault="00564887" w:rsidP="00FA6C74">
            <w:pPr>
              <w:jc w:val="center"/>
              <w:rPr>
                <w:b/>
                <w:sz w:val="28"/>
                <w:szCs w:val="28"/>
              </w:rPr>
            </w:pPr>
            <w:r w:rsidRPr="0049249F">
              <w:rPr>
                <w:b/>
                <w:sz w:val="28"/>
                <w:szCs w:val="28"/>
              </w:rPr>
              <w:t>Update on Quality Review and QPO Activities</w:t>
            </w:r>
            <w:r w:rsidR="00E56A1C">
              <w:rPr>
                <w:b/>
                <w:sz w:val="28"/>
                <w:szCs w:val="28"/>
              </w:rPr>
              <w:t xml:space="preserve">  </w:t>
            </w:r>
          </w:p>
          <w:p w:rsidR="00FA6C74" w:rsidRPr="00CA1F85" w:rsidRDefault="00CA70DC" w:rsidP="00C06C7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9249F">
              <w:rPr>
                <w:b/>
                <w:sz w:val="28"/>
                <w:szCs w:val="28"/>
              </w:rPr>
              <w:t xml:space="preserve"> </w:t>
            </w:r>
            <w:r w:rsidR="00E56A1C">
              <w:rPr>
                <w:b/>
                <w:sz w:val="28"/>
                <w:szCs w:val="28"/>
              </w:rPr>
              <w:t>September</w:t>
            </w:r>
            <w:r w:rsidR="00C06C70">
              <w:rPr>
                <w:b/>
                <w:sz w:val="28"/>
                <w:szCs w:val="28"/>
              </w:rPr>
              <w:t xml:space="preserve"> - November</w:t>
            </w:r>
            <w:r w:rsidRPr="0049249F">
              <w:rPr>
                <w:b/>
                <w:sz w:val="28"/>
                <w:szCs w:val="28"/>
              </w:rPr>
              <w:t xml:space="preserve"> 2018</w:t>
            </w:r>
            <w:r>
              <w:br/>
            </w:r>
            <w:r w:rsidR="00FA6C74" w:rsidRPr="00CA1F85">
              <w:rPr>
                <w:rFonts w:ascii="Calibri" w:hAnsi="Calibri"/>
                <w:b/>
                <w:sz w:val="24"/>
                <w:szCs w:val="24"/>
              </w:rPr>
              <w:t>Quality Assurance and Promotion</w:t>
            </w:r>
            <w:r w:rsidR="006A0A4A">
              <w:rPr>
                <w:rFonts w:ascii="Calibri" w:hAnsi="Calibri"/>
                <w:b/>
                <w:sz w:val="24"/>
                <w:szCs w:val="24"/>
              </w:rPr>
              <w:t xml:space="preserve"> Activities</w:t>
            </w:r>
          </w:p>
        </w:tc>
      </w:tr>
      <w:tr w:rsidR="008C6E83" w:rsidTr="00CC1088">
        <w:trPr>
          <w:trHeight w:val="758"/>
          <w:tblHeader/>
        </w:trPr>
        <w:tc>
          <w:tcPr>
            <w:tcW w:w="2977" w:type="dxa"/>
          </w:tcPr>
          <w:p w:rsidR="008C6E83" w:rsidRDefault="008C6E83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Office of Vice-President External Affairs</w:t>
            </w:r>
          </w:p>
        </w:tc>
        <w:tc>
          <w:tcPr>
            <w:tcW w:w="7087" w:type="dxa"/>
          </w:tcPr>
          <w:p w:rsidR="00E21B0C" w:rsidRPr="00E21B0C" w:rsidRDefault="00E21B0C" w:rsidP="00E21B0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E21B0C">
              <w:rPr>
                <w:rFonts w:ascii="Calibri" w:hAnsi="Calibri"/>
                <w:sz w:val="24"/>
                <w:szCs w:val="24"/>
              </w:rPr>
              <w:t>School Quality Improvement Plan completed</w:t>
            </w:r>
          </w:p>
          <w:p w:rsidR="00E21B0C" w:rsidRPr="00E21B0C" w:rsidRDefault="00E21B0C" w:rsidP="00E21B0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E21B0C">
              <w:rPr>
                <w:rFonts w:ascii="Calibri" w:hAnsi="Calibri"/>
                <w:sz w:val="24"/>
                <w:szCs w:val="24"/>
              </w:rPr>
              <w:t>Draft university response proposed, s</w:t>
            </w:r>
            <w:r>
              <w:rPr>
                <w:rFonts w:ascii="Calibri" w:hAnsi="Calibri"/>
                <w:sz w:val="24"/>
                <w:szCs w:val="24"/>
              </w:rPr>
              <w:t>ubject to SMG sub-group meeting.</w:t>
            </w:r>
          </w:p>
          <w:p w:rsidR="00B211D4" w:rsidRPr="00BB6185" w:rsidRDefault="00E21B0C" w:rsidP="005028EE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E21B0C">
              <w:rPr>
                <w:rFonts w:ascii="Calibri" w:hAnsi="Calibri"/>
                <w:sz w:val="24"/>
                <w:szCs w:val="24"/>
              </w:rPr>
              <w:t>Planning for follow-up meeting in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5028EE">
              <w:rPr>
                <w:rFonts w:ascii="Calibri" w:hAnsi="Calibri"/>
                <w:sz w:val="24"/>
                <w:szCs w:val="24"/>
              </w:rPr>
              <w:t>is 3</w:t>
            </w:r>
            <w:r w:rsidR="005028EE" w:rsidRPr="005028EE">
              <w:rPr>
                <w:rFonts w:ascii="Calibri" w:hAnsi="Calibri"/>
                <w:sz w:val="24"/>
                <w:szCs w:val="24"/>
                <w:vertAlign w:val="superscript"/>
              </w:rPr>
              <w:t>rd</w:t>
            </w:r>
            <w:r w:rsidR="005028E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50655F">
              <w:rPr>
                <w:rFonts w:ascii="Calibri" w:hAnsi="Calibri"/>
                <w:sz w:val="24"/>
                <w:szCs w:val="24"/>
              </w:rPr>
              <w:t>December, 2018</w:t>
            </w:r>
          </w:p>
        </w:tc>
      </w:tr>
      <w:tr w:rsidR="00DF5231" w:rsidTr="00A5317A">
        <w:trPr>
          <w:trHeight w:val="981"/>
          <w:tblHeader/>
        </w:trPr>
        <w:tc>
          <w:tcPr>
            <w:tcW w:w="2977" w:type="dxa"/>
          </w:tcPr>
          <w:p w:rsidR="00DF5231" w:rsidRPr="00CA1F85" w:rsidRDefault="00DF523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School of Mathematical Sciences</w:t>
            </w:r>
          </w:p>
        </w:tc>
        <w:tc>
          <w:tcPr>
            <w:tcW w:w="7087" w:type="dxa"/>
          </w:tcPr>
          <w:p w:rsidR="0049249F" w:rsidRPr="0039310D" w:rsidRDefault="00004495" w:rsidP="0039310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SMG QuIP meeting held on 17</w:t>
            </w:r>
            <w:r w:rsidRPr="00004495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 xml:space="preserve"> October, 2018 and finalisation of University response to QuIP</w:t>
            </w:r>
          </w:p>
          <w:p w:rsidR="0013575D" w:rsidRPr="00AC3C19" w:rsidRDefault="005028EE" w:rsidP="0050655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QuIP follow-up meeting date is 26</w:t>
            </w:r>
            <w:r w:rsidRPr="005028EE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50655F">
              <w:rPr>
                <w:rFonts w:ascii="Calibri" w:hAnsi="Calibri"/>
                <w:sz w:val="24"/>
                <w:szCs w:val="24"/>
              </w:rPr>
              <w:t xml:space="preserve"> November, 2018</w:t>
            </w:r>
          </w:p>
        </w:tc>
      </w:tr>
      <w:tr w:rsidR="00B211D4" w:rsidTr="00607BCC">
        <w:trPr>
          <w:trHeight w:val="597"/>
          <w:tblHeader/>
        </w:trPr>
        <w:tc>
          <w:tcPr>
            <w:tcW w:w="2977" w:type="dxa"/>
          </w:tcPr>
          <w:p w:rsidR="00B211D4" w:rsidRDefault="00B211D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Office of Student Life</w:t>
            </w:r>
          </w:p>
        </w:tc>
        <w:tc>
          <w:tcPr>
            <w:tcW w:w="7087" w:type="dxa"/>
          </w:tcPr>
          <w:p w:rsidR="00B211D4" w:rsidRDefault="00B211D4" w:rsidP="00B211D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Office of Student Life confirmed for 27</w:t>
            </w:r>
            <w:r w:rsidRPr="0013575D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 xml:space="preserve"> Feb-1</w:t>
            </w:r>
            <w:r w:rsidRPr="0013575D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 w:val="24"/>
                <w:szCs w:val="24"/>
              </w:rPr>
              <w:t xml:space="preserve"> March, 2019</w:t>
            </w:r>
          </w:p>
          <w:p w:rsidR="0049249F" w:rsidRDefault="0049249F" w:rsidP="00394F4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PRG panel </w:t>
            </w:r>
            <w:r w:rsidR="00E56A1C">
              <w:rPr>
                <w:rFonts w:ascii="Calibri" w:hAnsi="Calibri"/>
                <w:sz w:val="24"/>
                <w:szCs w:val="24"/>
              </w:rPr>
              <w:t xml:space="preserve">is now </w:t>
            </w:r>
            <w:r>
              <w:rPr>
                <w:rFonts w:ascii="Calibri" w:hAnsi="Calibri"/>
                <w:sz w:val="24"/>
                <w:szCs w:val="24"/>
              </w:rPr>
              <w:t>confirmed.</w:t>
            </w:r>
          </w:p>
          <w:p w:rsidR="0064088F" w:rsidRDefault="0064088F" w:rsidP="00394F46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3D1095">
              <w:rPr>
                <w:rFonts w:ascii="Calibri" w:hAnsi="Calibri"/>
                <w:sz w:val="24"/>
                <w:szCs w:val="24"/>
              </w:rPr>
              <w:t xml:space="preserve">Continuing liaison regarding development of Self-Assessment Report.  </w:t>
            </w:r>
          </w:p>
        </w:tc>
      </w:tr>
      <w:tr w:rsidR="00B211D4" w:rsidTr="00607BCC">
        <w:trPr>
          <w:trHeight w:val="597"/>
          <w:tblHeader/>
        </w:trPr>
        <w:tc>
          <w:tcPr>
            <w:tcW w:w="2977" w:type="dxa"/>
          </w:tcPr>
          <w:p w:rsidR="00B211D4" w:rsidRDefault="00B211D4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Student Support and Development</w:t>
            </w:r>
          </w:p>
        </w:tc>
        <w:tc>
          <w:tcPr>
            <w:tcW w:w="7087" w:type="dxa"/>
          </w:tcPr>
          <w:p w:rsidR="00E56A1C" w:rsidRPr="0050655F" w:rsidRDefault="00B211D4" w:rsidP="0050655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Student Support and Development Review- confirmed 27</w:t>
            </w:r>
            <w:r w:rsidRPr="00B211D4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>-29</w:t>
            </w:r>
            <w:r w:rsidRPr="00B211D4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 xml:space="preserve"> March, 2019</w:t>
            </w:r>
            <w:r w:rsidR="0050655F">
              <w:rPr>
                <w:rFonts w:ascii="Calibri" w:hAnsi="Calibri"/>
                <w:sz w:val="24"/>
                <w:szCs w:val="24"/>
              </w:rPr>
              <w:t xml:space="preserve">; </w:t>
            </w:r>
            <w:r w:rsidR="00E56A1C" w:rsidRPr="0050655F">
              <w:rPr>
                <w:rFonts w:ascii="Calibri" w:hAnsi="Calibri"/>
                <w:sz w:val="24"/>
                <w:szCs w:val="24"/>
              </w:rPr>
              <w:t xml:space="preserve">PRG panel </w:t>
            </w:r>
            <w:r w:rsidR="0050655F">
              <w:rPr>
                <w:rFonts w:ascii="Calibri" w:hAnsi="Calibri"/>
                <w:sz w:val="24"/>
                <w:szCs w:val="24"/>
              </w:rPr>
              <w:t>confirmed</w:t>
            </w:r>
          </w:p>
          <w:p w:rsidR="0064088F" w:rsidRDefault="0050655F" w:rsidP="0050655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Presentation and training sessions for SS&amp;D staff on process</w:t>
            </w:r>
          </w:p>
          <w:p w:rsidR="0050655F" w:rsidRPr="0039310D" w:rsidRDefault="0050655F" w:rsidP="0050655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Ongoing liaison regarding self-evaluation</w:t>
            </w:r>
          </w:p>
        </w:tc>
      </w:tr>
      <w:tr w:rsidR="0099010A" w:rsidTr="00607BCC">
        <w:trPr>
          <w:trHeight w:val="597"/>
          <w:tblHeader/>
        </w:trPr>
        <w:tc>
          <w:tcPr>
            <w:tcW w:w="2977" w:type="dxa"/>
          </w:tcPr>
          <w:p w:rsidR="0099010A" w:rsidRDefault="0099010A">
            <w:pPr>
              <w:rPr>
                <w:rFonts w:ascii="Calibri" w:hAnsi="Calibri"/>
                <w:b/>
                <w:sz w:val="24"/>
                <w:szCs w:val="24"/>
              </w:rPr>
            </w:pPr>
            <w:r w:rsidRPr="0099010A">
              <w:rPr>
                <w:rFonts w:ascii="Calibri" w:hAnsi="Calibri"/>
                <w:b/>
                <w:sz w:val="24"/>
                <w:szCs w:val="24"/>
              </w:rPr>
              <w:t>Office of the Chief Operations Officer</w:t>
            </w:r>
          </w:p>
        </w:tc>
        <w:tc>
          <w:tcPr>
            <w:tcW w:w="7087" w:type="dxa"/>
          </w:tcPr>
          <w:p w:rsidR="0099010A" w:rsidRDefault="0099010A" w:rsidP="0099010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99010A">
              <w:rPr>
                <w:rFonts w:ascii="Calibri" w:hAnsi="Calibri"/>
                <w:sz w:val="24"/>
                <w:szCs w:val="24"/>
              </w:rPr>
              <w:t>Chief Operations Officer Quality review visit for 22nd, 23rd &amp; 24th May 2019.</w:t>
            </w:r>
          </w:p>
          <w:p w:rsidR="0049249F" w:rsidRDefault="0050655F" w:rsidP="0099010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Sub-group to meet mid-November to finalise external peer review group members</w:t>
            </w:r>
          </w:p>
        </w:tc>
      </w:tr>
      <w:tr w:rsidR="00ED1CE2" w:rsidTr="00607BCC">
        <w:trPr>
          <w:trHeight w:val="597"/>
          <w:tblHeader/>
        </w:trPr>
        <w:tc>
          <w:tcPr>
            <w:tcW w:w="2977" w:type="dxa"/>
          </w:tcPr>
          <w:p w:rsidR="00ED1CE2" w:rsidRPr="00CA1F85" w:rsidRDefault="00ED1CE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DCU Institutional Review</w:t>
            </w:r>
          </w:p>
        </w:tc>
        <w:tc>
          <w:tcPr>
            <w:tcW w:w="7087" w:type="dxa"/>
          </w:tcPr>
          <w:p w:rsidR="00004495" w:rsidRDefault="00004495" w:rsidP="00AC3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Collation of additional material for main site review visit</w:t>
            </w:r>
          </w:p>
          <w:p w:rsidR="00004495" w:rsidRDefault="00004495" w:rsidP="00AC3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Completion of three briefing workshops for staff participating in main site review visit</w:t>
            </w:r>
          </w:p>
          <w:p w:rsidR="00E56A1C" w:rsidRDefault="00004495" w:rsidP="00AC3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Planning and logistical arrangements for main site visit</w:t>
            </w:r>
          </w:p>
          <w:p w:rsidR="00AC3C19" w:rsidRDefault="00004495" w:rsidP="00AC3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Presentation to Academic Council (Oct 2018) ahead of main site review visit</w:t>
            </w:r>
          </w:p>
          <w:p w:rsidR="00004495" w:rsidRPr="00AC3C19" w:rsidRDefault="00004495" w:rsidP="00AC3C1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Hosting of review team for main site review visit (22-26</w:t>
            </w:r>
            <w:r w:rsidRPr="00004495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 xml:space="preserve"> October)</w:t>
            </w:r>
          </w:p>
        </w:tc>
      </w:tr>
      <w:tr w:rsidR="009E4F86" w:rsidTr="00607BCC">
        <w:trPr>
          <w:trHeight w:val="597"/>
          <w:tblHeader/>
        </w:trPr>
        <w:tc>
          <w:tcPr>
            <w:tcW w:w="2977" w:type="dxa"/>
          </w:tcPr>
          <w:p w:rsidR="009E4F86" w:rsidRPr="00CA1F85" w:rsidRDefault="009E4F86">
            <w:pPr>
              <w:rPr>
                <w:rFonts w:ascii="Calibri" w:hAnsi="Calibri"/>
                <w:b/>
                <w:sz w:val="24"/>
                <w:szCs w:val="24"/>
              </w:rPr>
            </w:pPr>
            <w:r w:rsidRPr="00CA1F85">
              <w:rPr>
                <w:rFonts w:ascii="Calibri" w:hAnsi="Calibri"/>
                <w:b/>
                <w:sz w:val="24"/>
                <w:szCs w:val="24"/>
              </w:rPr>
              <w:t>IUA/ QQI Activities</w:t>
            </w:r>
          </w:p>
        </w:tc>
        <w:tc>
          <w:tcPr>
            <w:tcW w:w="7087" w:type="dxa"/>
          </w:tcPr>
          <w:p w:rsidR="00AC3C19" w:rsidRDefault="00DC2BF3" w:rsidP="00004495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4"/>
                <w:szCs w:val="24"/>
              </w:rPr>
            </w:pPr>
            <w:r w:rsidRPr="00004495">
              <w:rPr>
                <w:rFonts w:ascii="Calibri" w:hAnsi="Calibri"/>
                <w:sz w:val="24"/>
                <w:szCs w:val="24"/>
              </w:rPr>
              <w:t>Liaison</w:t>
            </w:r>
            <w:r w:rsidR="0050655F" w:rsidRPr="00004495">
              <w:rPr>
                <w:rFonts w:ascii="Calibri" w:hAnsi="Calibri"/>
                <w:sz w:val="24"/>
                <w:szCs w:val="24"/>
              </w:rPr>
              <w:t xml:space="preserve"> with Quality Officers on IUA co-ordinated response to QQI Act amendments</w:t>
            </w:r>
          </w:p>
          <w:p w:rsidR="00004495" w:rsidRPr="00004495" w:rsidRDefault="00004495" w:rsidP="00004495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IUA- Quality Officers meeting, hosted at TCD, 8</w:t>
            </w:r>
            <w:r w:rsidRPr="00004495">
              <w:rPr>
                <w:rFonts w:ascii="Calibri" w:hAnsi="Calibri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hAnsi="Calibri"/>
                <w:sz w:val="24"/>
                <w:szCs w:val="24"/>
              </w:rPr>
              <w:t xml:space="preserve"> October, 2018</w:t>
            </w:r>
          </w:p>
          <w:p w:rsidR="00E56A1C" w:rsidRPr="00AC3C19" w:rsidRDefault="00E56A1C" w:rsidP="00AC3C1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0655F" w:rsidTr="00607BCC">
        <w:trPr>
          <w:trHeight w:val="597"/>
          <w:tblHeader/>
        </w:trPr>
        <w:tc>
          <w:tcPr>
            <w:tcW w:w="2977" w:type="dxa"/>
          </w:tcPr>
          <w:p w:rsidR="0050655F" w:rsidRPr="00CA1F85" w:rsidRDefault="0050655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N-Step/ Student Engagement/ ISSE</w:t>
            </w:r>
          </w:p>
        </w:tc>
        <w:tc>
          <w:tcPr>
            <w:tcW w:w="7087" w:type="dxa"/>
          </w:tcPr>
          <w:p w:rsidR="0044023C" w:rsidRPr="000C2CE0" w:rsidRDefault="0044023C" w:rsidP="0044023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0C2CE0">
              <w:rPr>
                <w:rFonts w:ascii="Calibri" w:hAnsi="Calibri"/>
                <w:b/>
                <w:sz w:val="24"/>
                <w:szCs w:val="24"/>
              </w:rPr>
              <w:t>NStEP Networking Session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 – </w:t>
            </w:r>
            <w:r w:rsidR="00EE2E0C" w:rsidRPr="000C2CE0">
              <w:rPr>
                <w:rFonts w:ascii="Calibri" w:hAnsi="Calibri"/>
                <w:sz w:val="24"/>
                <w:szCs w:val="24"/>
              </w:rPr>
              <w:t xml:space="preserve">DCU hosted the annual networking session on the Glasnevin Campus </w:t>
            </w:r>
            <w:r w:rsidRPr="000C2CE0">
              <w:rPr>
                <w:rFonts w:ascii="Calibri" w:hAnsi="Calibri"/>
                <w:sz w:val="24"/>
                <w:szCs w:val="24"/>
              </w:rPr>
              <w:t>on Thursday 21</w:t>
            </w:r>
            <w:r w:rsidRPr="000C2CE0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 November</w:t>
            </w:r>
            <w:r w:rsidR="00EE2E0C" w:rsidRPr="000C2CE0">
              <w:rPr>
                <w:rFonts w:ascii="Calibri" w:hAnsi="Calibri"/>
                <w:sz w:val="24"/>
                <w:szCs w:val="24"/>
              </w:rPr>
              <w:t>.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E2E0C" w:rsidRPr="000C2CE0">
              <w:rPr>
                <w:rFonts w:ascii="Calibri" w:hAnsi="Calibri"/>
                <w:sz w:val="24"/>
                <w:szCs w:val="24"/>
              </w:rPr>
              <w:t xml:space="preserve">Aligned to the 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theme </w:t>
            </w:r>
            <w:r w:rsidR="00EE2E0C" w:rsidRPr="000C2CE0">
              <w:rPr>
                <w:rFonts w:ascii="Calibri" w:hAnsi="Calibri"/>
                <w:sz w:val="24"/>
                <w:szCs w:val="24"/>
              </w:rPr>
              <w:t xml:space="preserve">of </w:t>
            </w:r>
            <w:r w:rsidRPr="000C2CE0">
              <w:rPr>
                <w:rFonts w:ascii="Calibri" w:hAnsi="Calibri"/>
                <w:sz w:val="24"/>
                <w:szCs w:val="24"/>
              </w:rPr>
              <w:t>‘</w:t>
            </w:r>
            <w:r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Technology enhancing student engagement’ </w:t>
            </w:r>
            <w:r w:rsidR="00EE2E0C" w:rsidRPr="000C2CE0">
              <w:rPr>
                <w:rFonts w:asciiTheme="minorHAnsi" w:hAnsiTheme="minorHAnsi" w:cs="Times New Roman"/>
                <w:sz w:val="24"/>
                <w:szCs w:val="24"/>
              </w:rPr>
              <w:t>the Q</w:t>
            </w:r>
            <w:r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PO </w:t>
            </w:r>
            <w:r w:rsidR="003A1EEE"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on </w:t>
            </w:r>
            <w:r w:rsidR="000169AD"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the ways in which </w:t>
            </w:r>
            <w:r w:rsidR="003A1EEE" w:rsidRPr="000C2CE0">
              <w:rPr>
                <w:rFonts w:asciiTheme="minorHAnsi" w:hAnsiTheme="minorHAnsi" w:cs="Times New Roman"/>
                <w:sz w:val="24"/>
                <w:szCs w:val="24"/>
              </w:rPr>
              <w:t>DCU Fuse</w:t>
            </w:r>
            <w:r w:rsidR="000169AD"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 enhanced student engagement in the context of strategic planning and </w:t>
            </w:r>
            <w:r w:rsidR="00E4410D"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generation of </w:t>
            </w:r>
            <w:r w:rsidR="000169AD"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ideas </w:t>
            </w:r>
            <w:r w:rsidR="00E4410D" w:rsidRPr="000C2CE0">
              <w:rPr>
                <w:rFonts w:asciiTheme="minorHAnsi" w:hAnsiTheme="minorHAnsi" w:cs="Times New Roman"/>
                <w:sz w:val="24"/>
                <w:szCs w:val="24"/>
              </w:rPr>
              <w:t>to enhanced the student experience</w:t>
            </w:r>
            <w:r w:rsidR="003A1EEE" w:rsidRPr="000C2CE0">
              <w:rPr>
                <w:rFonts w:asciiTheme="minorHAnsi" w:hAnsiTheme="minorHAnsi" w:cs="Times New Roman"/>
                <w:sz w:val="24"/>
                <w:szCs w:val="24"/>
              </w:rPr>
              <w:t xml:space="preserve">. </w:t>
            </w:r>
            <w:r w:rsidRPr="000C2CE0">
              <w:rPr>
                <w:rFonts w:ascii="Calibri" w:hAnsi="Calibri"/>
                <w:sz w:val="24"/>
                <w:szCs w:val="24"/>
              </w:rPr>
              <w:t>DCU President</w:t>
            </w:r>
            <w:r w:rsidR="00E4410D" w:rsidRPr="000C2CE0">
              <w:rPr>
                <w:rFonts w:ascii="Calibri" w:hAnsi="Calibri"/>
                <w:sz w:val="24"/>
                <w:szCs w:val="24"/>
              </w:rPr>
              <w:t>,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 Prof Brian MacCraith and </w:t>
            </w:r>
            <w:r w:rsidR="00E97923" w:rsidRPr="000C2CE0">
              <w:rPr>
                <w:rFonts w:ascii="Calibri" w:hAnsi="Calibri"/>
                <w:sz w:val="24"/>
                <w:szCs w:val="24"/>
              </w:rPr>
              <w:t xml:space="preserve">the 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SU President Vito Maloney Burke will each provide a 5-minute welcome </w:t>
            </w:r>
            <w:r w:rsidR="00E4410D" w:rsidRPr="000C2CE0">
              <w:rPr>
                <w:rFonts w:ascii="Calibri" w:hAnsi="Calibri"/>
                <w:sz w:val="24"/>
                <w:szCs w:val="24"/>
              </w:rPr>
              <w:t xml:space="preserve">address 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to attendees.  Representatives from the 23 participating institutions </w:t>
            </w:r>
            <w:r w:rsidR="00EE2E0C" w:rsidRPr="000C2CE0">
              <w:rPr>
                <w:rFonts w:ascii="Calibri" w:hAnsi="Calibri"/>
                <w:sz w:val="24"/>
                <w:szCs w:val="24"/>
              </w:rPr>
              <w:t>were in attendance with over 60</w:t>
            </w:r>
            <w:r w:rsidRPr="000C2CE0">
              <w:rPr>
                <w:rFonts w:ascii="Calibri" w:hAnsi="Calibri"/>
                <w:sz w:val="24"/>
                <w:szCs w:val="24"/>
              </w:rPr>
              <w:t xml:space="preserve"> delegates.   </w:t>
            </w:r>
            <w:r w:rsidR="000C2CE0" w:rsidRPr="000C2CE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The 3 year NStEP work</w:t>
            </w:r>
            <w:r w:rsidR="000C2CE0" w:rsidRPr="000C2CE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0C2CE0" w:rsidRPr="000C2CE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plan will finish up in March </w:t>
            </w:r>
            <w:r w:rsidR="0093133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2019 </w:t>
            </w:r>
            <w:r w:rsidR="000C2CE0" w:rsidRPr="000C2CE0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with a conference hosted in the Department of Education and Skill</w:t>
            </w:r>
            <w:r w:rsidR="0093133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. Staff and student representatives from DCU will be in attendance. </w:t>
            </w:r>
          </w:p>
          <w:p w:rsidR="0044023C" w:rsidRPr="00E4410D" w:rsidRDefault="00DC2BF3" w:rsidP="00E4410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222F9A">
              <w:rPr>
                <w:rFonts w:ascii="Calibri" w:hAnsi="Calibri"/>
                <w:b/>
                <w:sz w:val="24"/>
                <w:szCs w:val="24"/>
              </w:rPr>
              <w:t>Staff / Student Forums</w:t>
            </w:r>
            <w:r w:rsidRPr="00222F9A">
              <w:rPr>
                <w:rFonts w:ascii="Calibri" w:hAnsi="Calibri"/>
                <w:sz w:val="24"/>
                <w:szCs w:val="24"/>
              </w:rPr>
              <w:t xml:space="preserve"> –</w:t>
            </w:r>
            <w:r w:rsidR="00E4410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01A7C">
              <w:rPr>
                <w:rFonts w:ascii="Calibri" w:hAnsi="Calibri"/>
                <w:sz w:val="24"/>
                <w:szCs w:val="24"/>
              </w:rPr>
              <w:t>Phase II of the staff/student forums commenced in December with the Business School</w:t>
            </w:r>
            <w:r w:rsidR="009107A1" w:rsidRPr="00E4410D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 This session, facilitated by the QPO / OSL and was </w:t>
            </w:r>
            <w:r w:rsidR="008D24CD">
              <w:rPr>
                <w:rFonts w:ascii="Calibri" w:hAnsi="Calibri"/>
                <w:sz w:val="24"/>
                <w:szCs w:val="24"/>
              </w:rPr>
              <w:t>very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 productive </w:t>
            </w:r>
            <w:r w:rsidR="008D24CD">
              <w:rPr>
                <w:rFonts w:ascii="Calibri" w:hAnsi="Calibri"/>
                <w:sz w:val="24"/>
                <w:szCs w:val="24"/>
              </w:rPr>
              <w:t>r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esulting in actionable items that will work to enhance the experience for BS students.  </w:t>
            </w:r>
            <w:r w:rsidR="008D24CD">
              <w:rPr>
                <w:rFonts w:ascii="Calibri" w:hAnsi="Calibri"/>
                <w:sz w:val="24"/>
                <w:szCs w:val="24"/>
              </w:rPr>
              <w:t xml:space="preserve">A further update on this will be provided at the next meeting.  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QPO is working </w:t>
            </w:r>
            <w:r w:rsidR="008D24CD">
              <w:rPr>
                <w:rFonts w:ascii="Calibri" w:hAnsi="Calibri"/>
                <w:sz w:val="24"/>
                <w:szCs w:val="24"/>
              </w:rPr>
              <w:t xml:space="preserve">closely </w:t>
            </w:r>
            <w:r w:rsidR="00C01A7C">
              <w:rPr>
                <w:rFonts w:ascii="Calibri" w:hAnsi="Calibri"/>
                <w:sz w:val="24"/>
                <w:szCs w:val="24"/>
              </w:rPr>
              <w:t>with faculti</w:t>
            </w:r>
            <w:r w:rsidR="00931332">
              <w:rPr>
                <w:rFonts w:ascii="Calibri" w:hAnsi="Calibri"/>
                <w:sz w:val="24"/>
                <w:szCs w:val="24"/>
              </w:rPr>
              <w:t xml:space="preserve">es and the SU to finalise 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arrangements for the remaining forums. </w:t>
            </w:r>
          </w:p>
          <w:p w:rsidR="0044023C" w:rsidRPr="00931332" w:rsidRDefault="00222F9A" w:rsidP="0044023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222F9A">
              <w:rPr>
                <w:rFonts w:ascii="Calibri" w:hAnsi="Calibri"/>
                <w:b/>
                <w:sz w:val="24"/>
                <w:szCs w:val="24"/>
              </w:rPr>
              <w:t>ISSE Fieldwork (2019)</w:t>
            </w:r>
            <w:r>
              <w:rPr>
                <w:rFonts w:ascii="Calibri" w:hAnsi="Calibri"/>
                <w:sz w:val="24"/>
                <w:szCs w:val="24"/>
              </w:rPr>
              <w:t xml:space="preserve"> –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 The survey will open for three weeks from </w:t>
            </w:r>
            <w:r w:rsidR="00C01A7C" w:rsidRPr="00C01A7C">
              <w:rPr>
                <w:bCs/>
                <w:color w:val="222222"/>
                <w:shd w:val="clear" w:color="auto" w:fill="FFFFFF"/>
              </w:rPr>
              <w:t>March 11th - 30th inclusive (week 7 - 9)</w:t>
            </w:r>
            <w:r w:rsidR="00C01A7C">
              <w:rPr>
                <w:bCs/>
                <w:color w:val="222222"/>
                <w:shd w:val="clear" w:color="auto" w:fill="FFFFFF"/>
              </w:rPr>
              <w:t>.</w:t>
            </w:r>
            <w:r w:rsidR="00C01A7C">
              <w:rPr>
                <w:color w:val="222222"/>
                <w:shd w:val="clear" w:color="auto" w:fill="FFFFFF"/>
              </w:rPr>
              <w:t> A project plan for f</w:t>
            </w:r>
            <w:r w:rsidR="00C01A7C">
              <w:rPr>
                <w:rFonts w:ascii="Calibri" w:hAnsi="Calibri"/>
                <w:sz w:val="24"/>
                <w:szCs w:val="24"/>
              </w:rPr>
              <w:t>aculty level fieldwork is in preparation drawing on ISSE data to demonstrate the impact of the student voice in order to encourage participation.  Faculty level student</w:t>
            </w:r>
            <w:r w:rsidR="00931332">
              <w:rPr>
                <w:rFonts w:ascii="Calibri" w:hAnsi="Calibri"/>
                <w:sz w:val="24"/>
                <w:szCs w:val="24"/>
              </w:rPr>
              <w:t>’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s groups have been selected and the campaign will </w:t>
            </w:r>
            <w:r w:rsidR="00931332">
              <w:rPr>
                <w:rFonts w:ascii="Calibri" w:hAnsi="Calibri"/>
                <w:sz w:val="24"/>
                <w:szCs w:val="24"/>
              </w:rPr>
              <w:t>commence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 w/b 21</w:t>
            </w:r>
            <w:r w:rsidR="00C01A7C" w:rsidRPr="00C01A7C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="00C01A7C">
              <w:rPr>
                <w:rFonts w:ascii="Calibri" w:hAnsi="Calibri"/>
                <w:sz w:val="24"/>
                <w:szCs w:val="24"/>
              </w:rPr>
              <w:t xml:space="preserve"> January.   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526AB" w:rsidTr="00A5317A">
        <w:trPr>
          <w:trHeight w:val="944"/>
          <w:tblHeader/>
        </w:trPr>
        <w:tc>
          <w:tcPr>
            <w:tcW w:w="2977" w:type="dxa"/>
          </w:tcPr>
          <w:p w:rsidR="00F526AB" w:rsidRPr="00CA1F85" w:rsidRDefault="00F526AB" w:rsidP="0050655F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Quality Enhancement </w:t>
            </w:r>
          </w:p>
        </w:tc>
        <w:tc>
          <w:tcPr>
            <w:tcW w:w="7087" w:type="dxa"/>
          </w:tcPr>
          <w:p w:rsidR="00CE44FF" w:rsidRPr="00004495" w:rsidRDefault="00CE44FF" w:rsidP="0000449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C00000"/>
                <w:sz w:val="24"/>
                <w:szCs w:val="24"/>
              </w:rPr>
            </w:pPr>
            <w:r w:rsidRPr="00CA70DC">
              <w:rPr>
                <w:rFonts w:asciiTheme="minorHAnsi" w:hAnsiTheme="minorHAnsi"/>
                <w:b/>
                <w:sz w:val="24"/>
                <w:szCs w:val="24"/>
              </w:rPr>
              <w:t>QUID Funding</w:t>
            </w:r>
            <w:r w:rsidRPr="00CA70DC">
              <w:rPr>
                <w:rFonts w:asciiTheme="minorHAnsi" w:hAnsiTheme="minorHAnsi"/>
                <w:color w:val="C00000"/>
                <w:sz w:val="24"/>
                <w:szCs w:val="24"/>
              </w:rPr>
              <w:t xml:space="preserve"> </w:t>
            </w:r>
            <w:r w:rsidR="00086C1C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004495">
              <w:rPr>
                <w:rFonts w:asciiTheme="minorHAnsi" w:hAnsiTheme="minorHAnsi"/>
                <w:sz w:val="24"/>
                <w:szCs w:val="24"/>
              </w:rPr>
              <w:t>completion of scoping for 2018/19 QuID funding theme on Embracing Sustainability, in co-operation with Sustainability Manager; finalisation of application material for 2018/19</w:t>
            </w:r>
          </w:p>
          <w:p w:rsidR="00004495" w:rsidRPr="00CA70DC" w:rsidRDefault="00004495" w:rsidP="0000449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color w:val="C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QQI Conference (20/11/18) </w:t>
            </w:r>
            <w:r w:rsidRPr="00004495">
              <w:rPr>
                <w:rFonts w:asciiTheme="minorHAnsi" w:hAnsiTheme="minorHAnsi"/>
                <w:sz w:val="24"/>
                <w:szCs w:val="24"/>
              </w:rPr>
              <w:t xml:space="preserve">Completion of poster </w:t>
            </w:r>
            <w:r>
              <w:rPr>
                <w:rFonts w:asciiTheme="minorHAnsi" w:hAnsiTheme="minorHAnsi"/>
                <w:sz w:val="24"/>
                <w:szCs w:val="24"/>
              </w:rPr>
              <w:t>submission to conference</w:t>
            </w:r>
          </w:p>
        </w:tc>
      </w:tr>
      <w:tr w:rsidR="009E4F86" w:rsidTr="00A5317A">
        <w:trPr>
          <w:trHeight w:val="944"/>
          <w:tblHeader/>
        </w:trPr>
        <w:tc>
          <w:tcPr>
            <w:tcW w:w="2977" w:type="dxa"/>
          </w:tcPr>
          <w:p w:rsidR="009E4F86" w:rsidRPr="00CA1F85" w:rsidRDefault="009E4F86">
            <w:pPr>
              <w:rPr>
                <w:rFonts w:ascii="Calibri" w:hAnsi="Calibri"/>
                <w:b/>
                <w:sz w:val="24"/>
                <w:szCs w:val="24"/>
              </w:rPr>
            </w:pPr>
            <w:r w:rsidRPr="00CA1F85">
              <w:rPr>
                <w:rFonts w:ascii="Calibri" w:hAnsi="Calibri"/>
                <w:b/>
                <w:sz w:val="24"/>
                <w:szCs w:val="24"/>
              </w:rPr>
              <w:t>Other</w:t>
            </w:r>
          </w:p>
        </w:tc>
        <w:tc>
          <w:tcPr>
            <w:tcW w:w="7087" w:type="dxa"/>
          </w:tcPr>
          <w:p w:rsidR="00004495" w:rsidRDefault="00004495" w:rsidP="0050655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QPO representation,</w:t>
            </w:r>
          </w:p>
          <w:p w:rsidR="00004495" w:rsidRDefault="00004495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Education Committee</w:t>
            </w:r>
          </w:p>
          <w:p w:rsidR="00004495" w:rsidRDefault="00004495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Academic Council</w:t>
            </w:r>
          </w:p>
          <w:p w:rsidR="00004495" w:rsidRDefault="00004495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Heads and Deans</w:t>
            </w:r>
          </w:p>
          <w:p w:rsidR="00004495" w:rsidRDefault="0050655F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color w:val="000000" w:themeColor="text1"/>
                <w:sz w:val="24"/>
                <w:szCs w:val="24"/>
              </w:rPr>
              <w:t>TEU Advisory Committee</w:t>
            </w:r>
          </w:p>
          <w:p w:rsidR="00004495" w:rsidRDefault="00004495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04495">
              <w:rPr>
                <w:rFonts w:ascii="Calibri" w:hAnsi="Calibri"/>
                <w:color w:val="000000" w:themeColor="text1"/>
                <w:sz w:val="24"/>
                <w:szCs w:val="24"/>
              </w:rPr>
              <w:t>Strategic Intelligence pilot project steering group</w:t>
            </w:r>
          </w:p>
          <w:p w:rsidR="00004495" w:rsidRPr="00A103E5" w:rsidRDefault="00004495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Sport Strategy Working Group</w:t>
            </w:r>
          </w:p>
          <w:p w:rsidR="00A103E5" w:rsidRPr="00004495" w:rsidRDefault="00A103E5" w:rsidP="00004495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Sustainability Council </w:t>
            </w:r>
          </w:p>
        </w:tc>
      </w:tr>
    </w:tbl>
    <w:p w:rsidR="005028EE" w:rsidRDefault="005028EE">
      <w:r>
        <w:br w:type="page"/>
      </w:r>
    </w:p>
    <w:tbl>
      <w:tblPr>
        <w:tblStyle w:val="TableGrid"/>
        <w:tblW w:w="10064" w:type="dxa"/>
        <w:tblInd w:w="-459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="0050655F" w:rsidTr="00005463">
        <w:trPr>
          <w:cantSplit/>
          <w:trHeight w:val="871"/>
          <w:tblHeader/>
        </w:trPr>
        <w:tc>
          <w:tcPr>
            <w:tcW w:w="10064" w:type="dxa"/>
            <w:gridSpan w:val="2"/>
            <w:shd w:val="clear" w:color="auto" w:fill="E5B8B7" w:themeFill="accent2" w:themeFillTint="66"/>
            <w:vAlign w:val="center"/>
          </w:tcPr>
          <w:p w:rsidR="0050655F" w:rsidRPr="00CA1F85" w:rsidRDefault="0050655F" w:rsidP="0050655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QPO Activity Report</w:t>
            </w:r>
            <w:r>
              <w:br/>
            </w:r>
            <w:r>
              <w:rPr>
                <w:rFonts w:ascii="Calibri" w:hAnsi="Calibri"/>
                <w:b/>
                <w:sz w:val="24"/>
                <w:szCs w:val="24"/>
              </w:rPr>
              <w:t>Strategic Planning and Institutional Research Activities</w:t>
            </w:r>
          </w:p>
        </w:tc>
      </w:tr>
      <w:tr w:rsidR="0050655F" w:rsidTr="00005463">
        <w:trPr>
          <w:trHeight w:val="758"/>
          <w:tblHeader/>
        </w:trPr>
        <w:tc>
          <w:tcPr>
            <w:tcW w:w="2977" w:type="dxa"/>
          </w:tcPr>
          <w:p w:rsidR="0050655F" w:rsidRDefault="0050655F" w:rsidP="00005463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Strategic Planning</w:t>
            </w:r>
          </w:p>
        </w:tc>
        <w:tc>
          <w:tcPr>
            <w:tcW w:w="7087" w:type="dxa"/>
          </w:tcPr>
          <w:p w:rsidR="0050655F" w:rsidRDefault="0050655F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Co-ordination of review and renew of institutional strategy</w:t>
            </w:r>
          </w:p>
          <w:p w:rsidR="0050655F" w:rsidRDefault="0050655F" w:rsidP="0050655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Collation of Yr 1 prioritised actions performance reporting</w:t>
            </w:r>
          </w:p>
          <w:p w:rsidR="0050655F" w:rsidRDefault="0050655F" w:rsidP="0050655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Co-ordination of SMG-led review and renew process</w:t>
            </w:r>
          </w:p>
          <w:p w:rsidR="0050655F" w:rsidRDefault="0050655F" w:rsidP="0050655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Report to Governing Authority of Yr 1 process, and outcome of review and renew</w:t>
            </w:r>
          </w:p>
          <w:p w:rsidR="0050655F" w:rsidRDefault="0050655F" w:rsidP="0050655F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Development of strategy implementation report to DCU community (to be completed by end November 2018)</w:t>
            </w:r>
          </w:p>
          <w:p w:rsidR="0050655F" w:rsidRPr="00BB6185" w:rsidRDefault="0050655F" w:rsidP="0050655F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HEA Strategic Dialogue- completion of presentation, and meeting with HEA to finalise 2018-2022 DCU Compact Goals</w:t>
            </w:r>
          </w:p>
        </w:tc>
      </w:tr>
      <w:tr w:rsidR="0050655F" w:rsidTr="00005463">
        <w:trPr>
          <w:trHeight w:val="981"/>
          <w:tblHeader/>
        </w:trPr>
        <w:tc>
          <w:tcPr>
            <w:tcW w:w="2977" w:type="dxa"/>
          </w:tcPr>
          <w:p w:rsidR="0050655F" w:rsidRPr="00CA1F85" w:rsidRDefault="0050655F" w:rsidP="00005463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Institutional Research</w:t>
            </w:r>
          </w:p>
        </w:tc>
        <w:tc>
          <w:tcPr>
            <w:tcW w:w="7087" w:type="dxa"/>
          </w:tcPr>
          <w:p w:rsidR="0050655F" w:rsidRDefault="0050655F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Presentation at HEIR UK and Ireland Institutional Research Conference, 20-21</w:t>
            </w:r>
            <w:r w:rsidRPr="0050655F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 w:val="24"/>
                <w:szCs w:val="24"/>
              </w:rPr>
              <w:t xml:space="preserve"> September, 2018</w:t>
            </w:r>
          </w:p>
          <w:p w:rsidR="0050655F" w:rsidRDefault="0050655F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Support for Strategic Intelligence initiative in defining and extracting student data for student engagement pilot</w:t>
            </w:r>
          </w:p>
          <w:p w:rsidR="0050655F" w:rsidRDefault="0050655F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Completion of ISSE dashboards, circulation to programme chairs, and hosting of information lunches to support Programme Chairs</w:t>
            </w:r>
          </w:p>
          <w:p w:rsidR="0050655F" w:rsidRDefault="0050655F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KPI definitions and rankings presentation to DCU Research Committee</w:t>
            </w:r>
          </w:p>
          <w:p w:rsidR="00E91758" w:rsidRDefault="00E91758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Programme Level Pass rate analysis to Education Committee</w:t>
            </w:r>
          </w:p>
          <w:p w:rsidR="0050655F" w:rsidRDefault="00004495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Definition of Compliance reporting requirements for SIS project</w:t>
            </w:r>
          </w:p>
          <w:p w:rsidR="00004495" w:rsidRDefault="00004495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Completion of analysis on HEA Graduate Outcomes Survey</w:t>
            </w:r>
          </w:p>
          <w:p w:rsidR="00004495" w:rsidRDefault="00004495" w:rsidP="00005463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Participation on Sport Strategy working group</w:t>
            </w:r>
          </w:p>
          <w:p w:rsidR="00004495" w:rsidRDefault="00004495" w:rsidP="0000449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Completion of data return for UMultirank</w:t>
            </w:r>
          </w:p>
          <w:p w:rsidR="00004495" w:rsidRPr="00AC3C19" w:rsidRDefault="00004495" w:rsidP="0000449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Completion of specific analysis queries, including FOI requests</w:t>
            </w:r>
          </w:p>
        </w:tc>
      </w:tr>
    </w:tbl>
    <w:p w:rsidR="00FA6C74" w:rsidRDefault="00FA6C74"/>
    <w:sectPr w:rsidR="00FA6C74" w:rsidSect="006A0A4A">
      <w:headerReference w:type="default" r:id="rId8"/>
      <w:pgSz w:w="11906" w:h="16838"/>
      <w:pgMar w:top="629" w:right="1440" w:bottom="709" w:left="1440" w:header="56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A9" w:rsidRDefault="000C09A9" w:rsidP="003F2553">
      <w:r>
        <w:separator/>
      </w:r>
    </w:p>
  </w:endnote>
  <w:endnote w:type="continuationSeparator" w:id="0">
    <w:p w:rsidR="000C09A9" w:rsidRDefault="000C09A9" w:rsidP="003F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A9" w:rsidRDefault="000C09A9" w:rsidP="003F2553">
      <w:r>
        <w:separator/>
      </w:r>
    </w:p>
  </w:footnote>
  <w:footnote w:type="continuationSeparator" w:id="0">
    <w:p w:rsidR="000C09A9" w:rsidRDefault="000C09A9" w:rsidP="003F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553" w:rsidRPr="003F2553" w:rsidRDefault="003F2553">
    <w:pPr>
      <w:pStyle w:val="Header"/>
      <w:rPr>
        <w:color w:val="C00000"/>
        <w:sz w:val="28"/>
        <w:szCs w:val="28"/>
      </w:rPr>
    </w:pPr>
    <w:r w:rsidRPr="003F2553">
      <w:rPr>
        <w:color w:val="C00000"/>
        <w:sz w:val="28"/>
        <w:szCs w:val="28"/>
      </w:rPr>
      <w:t>Quality Promotion Committee</w:t>
    </w:r>
  </w:p>
  <w:p w:rsidR="003F2553" w:rsidRDefault="003F2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D28"/>
    <w:multiLevelType w:val="hybridMultilevel"/>
    <w:tmpl w:val="D9B8F93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B74EE3"/>
    <w:multiLevelType w:val="hybridMultilevel"/>
    <w:tmpl w:val="4BE2AB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44D6"/>
    <w:multiLevelType w:val="hybridMultilevel"/>
    <w:tmpl w:val="03A87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67FD"/>
    <w:multiLevelType w:val="hybridMultilevel"/>
    <w:tmpl w:val="A24268B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7A4C54"/>
    <w:multiLevelType w:val="hybridMultilevel"/>
    <w:tmpl w:val="D4E4B2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C53C8"/>
    <w:multiLevelType w:val="hybridMultilevel"/>
    <w:tmpl w:val="B5FAA6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975B0"/>
    <w:multiLevelType w:val="hybridMultilevel"/>
    <w:tmpl w:val="536A95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390505"/>
    <w:multiLevelType w:val="hybridMultilevel"/>
    <w:tmpl w:val="05888D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D1BA2"/>
    <w:multiLevelType w:val="hybridMultilevel"/>
    <w:tmpl w:val="ED6CCD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D7530"/>
    <w:multiLevelType w:val="hybridMultilevel"/>
    <w:tmpl w:val="12C8D4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37971"/>
    <w:multiLevelType w:val="hybridMultilevel"/>
    <w:tmpl w:val="715684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FB2F03"/>
    <w:multiLevelType w:val="hybridMultilevel"/>
    <w:tmpl w:val="791213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923712"/>
    <w:multiLevelType w:val="hybridMultilevel"/>
    <w:tmpl w:val="F758B0D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10AC7"/>
    <w:multiLevelType w:val="hybridMultilevel"/>
    <w:tmpl w:val="47E44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633D0"/>
    <w:multiLevelType w:val="hybridMultilevel"/>
    <w:tmpl w:val="BEFC5A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4"/>
  </w:num>
  <w:num w:numId="5">
    <w:abstractNumId w:val="13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74"/>
    <w:rsid w:val="000018D5"/>
    <w:rsid w:val="00004495"/>
    <w:rsid w:val="000169AD"/>
    <w:rsid w:val="0007411E"/>
    <w:rsid w:val="0008674A"/>
    <w:rsid w:val="00086C1C"/>
    <w:rsid w:val="000C09A9"/>
    <w:rsid w:val="000C2CE0"/>
    <w:rsid w:val="000C3A28"/>
    <w:rsid w:val="000C4C30"/>
    <w:rsid w:val="000F0AFC"/>
    <w:rsid w:val="001140FB"/>
    <w:rsid w:val="001230EF"/>
    <w:rsid w:val="001317A6"/>
    <w:rsid w:val="0013575D"/>
    <w:rsid w:val="001812BD"/>
    <w:rsid w:val="001D44D8"/>
    <w:rsid w:val="001E0D2F"/>
    <w:rsid w:val="00212B90"/>
    <w:rsid w:val="00222F9A"/>
    <w:rsid w:val="00240849"/>
    <w:rsid w:val="00262956"/>
    <w:rsid w:val="00273E96"/>
    <w:rsid w:val="00276FAA"/>
    <w:rsid w:val="002833F7"/>
    <w:rsid w:val="00285F84"/>
    <w:rsid w:val="002A73FE"/>
    <w:rsid w:val="002C0DEC"/>
    <w:rsid w:val="002C7B18"/>
    <w:rsid w:val="002E6C4C"/>
    <w:rsid w:val="002F7238"/>
    <w:rsid w:val="00300E1D"/>
    <w:rsid w:val="00301859"/>
    <w:rsid w:val="00310EF7"/>
    <w:rsid w:val="003249F2"/>
    <w:rsid w:val="003313EF"/>
    <w:rsid w:val="00337D91"/>
    <w:rsid w:val="003466EB"/>
    <w:rsid w:val="003579AD"/>
    <w:rsid w:val="00366499"/>
    <w:rsid w:val="00392194"/>
    <w:rsid w:val="0039261C"/>
    <w:rsid w:val="0039310D"/>
    <w:rsid w:val="00393870"/>
    <w:rsid w:val="00394F46"/>
    <w:rsid w:val="003A1EEE"/>
    <w:rsid w:val="003B6CD6"/>
    <w:rsid w:val="003D1095"/>
    <w:rsid w:val="003D2D5E"/>
    <w:rsid w:val="003D3435"/>
    <w:rsid w:val="003E5A7E"/>
    <w:rsid w:val="003E7E1D"/>
    <w:rsid w:val="003F2553"/>
    <w:rsid w:val="0040174C"/>
    <w:rsid w:val="00402BF8"/>
    <w:rsid w:val="00427062"/>
    <w:rsid w:val="0044023C"/>
    <w:rsid w:val="00490A25"/>
    <w:rsid w:val="0049249F"/>
    <w:rsid w:val="004D42CA"/>
    <w:rsid w:val="004D7852"/>
    <w:rsid w:val="004E374B"/>
    <w:rsid w:val="005028EE"/>
    <w:rsid w:val="0050655F"/>
    <w:rsid w:val="00543361"/>
    <w:rsid w:val="005517EE"/>
    <w:rsid w:val="00564887"/>
    <w:rsid w:val="005864C5"/>
    <w:rsid w:val="0059390F"/>
    <w:rsid w:val="005B1D63"/>
    <w:rsid w:val="00607BCC"/>
    <w:rsid w:val="006102AA"/>
    <w:rsid w:val="0064088F"/>
    <w:rsid w:val="00671BB1"/>
    <w:rsid w:val="0068064E"/>
    <w:rsid w:val="00690EE6"/>
    <w:rsid w:val="00694485"/>
    <w:rsid w:val="006A0A4A"/>
    <w:rsid w:val="006A298B"/>
    <w:rsid w:val="006D23E5"/>
    <w:rsid w:val="006D495C"/>
    <w:rsid w:val="006E33BD"/>
    <w:rsid w:val="00700989"/>
    <w:rsid w:val="00702359"/>
    <w:rsid w:val="00715F72"/>
    <w:rsid w:val="00726CCE"/>
    <w:rsid w:val="007620D1"/>
    <w:rsid w:val="007711D9"/>
    <w:rsid w:val="00780422"/>
    <w:rsid w:val="00787ADC"/>
    <w:rsid w:val="0079767E"/>
    <w:rsid w:val="0079769C"/>
    <w:rsid w:val="007A18B0"/>
    <w:rsid w:val="007A67E5"/>
    <w:rsid w:val="007D0B32"/>
    <w:rsid w:val="007D3BB6"/>
    <w:rsid w:val="007E4C4C"/>
    <w:rsid w:val="007F10A5"/>
    <w:rsid w:val="0080498C"/>
    <w:rsid w:val="00814151"/>
    <w:rsid w:val="00833FD1"/>
    <w:rsid w:val="00846D4F"/>
    <w:rsid w:val="008511E8"/>
    <w:rsid w:val="008527BF"/>
    <w:rsid w:val="008B0E51"/>
    <w:rsid w:val="008C140D"/>
    <w:rsid w:val="008C6E83"/>
    <w:rsid w:val="008D24CD"/>
    <w:rsid w:val="008D2B77"/>
    <w:rsid w:val="008E0107"/>
    <w:rsid w:val="008F0C37"/>
    <w:rsid w:val="009107A1"/>
    <w:rsid w:val="0091642F"/>
    <w:rsid w:val="009239FB"/>
    <w:rsid w:val="00931332"/>
    <w:rsid w:val="009471E3"/>
    <w:rsid w:val="00961FB1"/>
    <w:rsid w:val="0097452D"/>
    <w:rsid w:val="00976EF6"/>
    <w:rsid w:val="00983E3B"/>
    <w:rsid w:val="0099010A"/>
    <w:rsid w:val="009C2315"/>
    <w:rsid w:val="009D5262"/>
    <w:rsid w:val="009E4F86"/>
    <w:rsid w:val="00A103E5"/>
    <w:rsid w:val="00A22AA8"/>
    <w:rsid w:val="00A34D15"/>
    <w:rsid w:val="00A371E2"/>
    <w:rsid w:val="00A418C4"/>
    <w:rsid w:val="00A42D01"/>
    <w:rsid w:val="00A50E59"/>
    <w:rsid w:val="00A51DCA"/>
    <w:rsid w:val="00A5279E"/>
    <w:rsid w:val="00A5317A"/>
    <w:rsid w:val="00A65221"/>
    <w:rsid w:val="00A90270"/>
    <w:rsid w:val="00A93192"/>
    <w:rsid w:val="00AC3C19"/>
    <w:rsid w:val="00AC7892"/>
    <w:rsid w:val="00B211D4"/>
    <w:rsid w:val="00B758F7"/>
    <w:rsid w:val="00BA53E7"/>
    <w:rsid w:val="00BB6185"/>
    <w:rsid w:val="00BE7520"/>
    <w:rsid w:val="00C01A7C"/>
    <w:rsid w:val="00C06C70"/>
    <w:rsid w:val="00C22618"/>
    <w:rsid w:val="00C252F0"/>
    <w:rsid w:val="00C342FB"/>
    <w:rsid w:val="00C72572"/>
    <w:rsid w:val="00C776B2"/>
    <w:rsid w:val="00C8151C"/>
    <w:rsid w:val="00C96D35"/>
    <w:rsid w:val="00CA1F85"/>
    <w:rsid w:val="00CA70DC"/>
    <w:rsid w:val="00CC1088"/>
    <w:rsid w:val="00CC4FF5"/>
    <w:rsid w:val="00CD3485"/>
    <w:rsid w:val="00CE0F8A"/>
    <w:rsid w:val="00CE224F"/>
    <w:rsid w:val="00CE44FF"/>
    <w:rsid w:val="00D07B02"/>
    <w:rsid w:val="00D20143"/>
    <w:rsid w:val="00D730A7"/>
    <w:rsid w:val="00D776E5"/>
    <w:rsid w:val="00D82007"/>
    <w:rsid w:val="00D842C0"/>
    <w:rsid w:val="00D9548F"/>
    <w:rsid w:val="00DB5491"/>
    <w:rsid w:val="00DB67D6"/>
    <w:rsid w:val="00DC2BF3"/>
    <w:rsid w:val="00DC7210"/>
    <w:rsid w:val="00DF5231"/>
    <w:rsid w:val="00E03F33"/>
    <w:rsid w:val="00E1408D"/>
    <w:rsid w:val="00E21B0C"/>
    <w:rsid w:val="00E4410D"/>
    <w:rsid w:val="00E47E63"/>
    <w:rsid w:val="00E52186"/>
    <w:rsid w:val="00E56A1C"/>
    <w:rsid w:val="00E8437C"/>
    <w:rsid w:val="00E91758"/>
    <w:rsid w:val="00E92C7B"/>
    <w:rsid w:val="00E97923"/>
    <w:rsid w:val="00EA6DAE"/>
    <w:rsid w:val="00EC79D6"/>
    <w:rsid w:val="00ED0E1A"/>
    <w:rsid w:val="00ED1CE2"/>
    <w:rsid w:val="00EE058A"/>
    <w:rsid w:val="00EE2E0C"/>
    <w:rsid w:val="00EF26BB"/>
    <w:rsid w:val="00F526AB"/>
    <w:rsid w:val="00F66D09"/>
    <w:rsid w:val="00F87F8B"/>
    <w:rsid w:val="00FA6C74"/>
    <w:rsid w:val="00FA72D6"/>
    <w:rsid w:val="00FB511A"/>
    <w:rsid w:val="00FC7EF9"/>
    <w:rsid w:val="00FD4D78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F37F"/>
  <w15:docId w15:val="{5E6190AF-53E8-4184-B20B-8E560EA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74"/>
    <w:pPr>
      <w:spacing w:after="0" w:line="240" w:lineRule="auto"/>
    </w:pPr>
    <w:rPr>
      <w:rFonts w:ascii="Arial" w:eastAsia="PMingLiU" w:hAnsi="Arial" w:cs="Arial"/>
      <w:lang w:val="en-GB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210"/>
    <w:pPr>
      <w:keepNext/>
      <w:keepLines/>
      <w:spacing w:before="240" w:line="276" w:lineRule="auto"/>
      <w:outlineLvl w:val="0"/>
    </w:pPr>
    <w:rPr>
      <w:rFonts w:ascii="Calibri" w:eastAsiaTheme="majorEastAsia" w:hAnsi="Calibri" w:cstheme="majorBidi"/>
      <w:b/>
      <w:bCs/>
      <w:color w:val="C00000"/>
      <w:sz w:val="32"/>
      <w:szCs w:val="28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F72"/>
    <w:pPr>
      <w:keepNext/>
      <w:keepLines/>
      <w:spacing w:before="200" w:line="276" w:lineRule="auto"/>
      <w:outlineLvl w:val="1"/>
    </w:pPr>
    <w:rPr>
      <w:rFonts w:ascii="Calibri" w:eastAsiaTheme="majorEastAsia" w:hAnsi="Calibri" w:cstheme="majorBidi"/>
      <w:b/>
      <w:bCs/>
      <w:i/>
      <w:sz w:val="28"/>
      <w:szCs w:val="26"/>
      <w:lang w:val="en-I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F72"/>
    <w:pPr>
      <w:keepNext/>
      <w:keepLines/>
      <w:spacing w:before="200" w:line="276" w:lineRule="auto"/>
      <w:outlineLvl w:val="2"/>
    </w:pPr>
    <w:rPr>
      <w:rFonts w:ascii="Calibri" w:eastAsiaTheme="majorEastAsia" w:hAnsi="Calibri" w:cstheme="majorBidi"/>
      <w:b/>
      <w:bCs/>
      <w:color w:val="000000" w:themeColor="text1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10"/>
    <w:rPr>
      <w:rFonts w:ascii="Calibri" w:eastAsiaTheme="majorEastAsia" w:hAnsi="Calibri" w:cstheme="majorBidi"/>
      <w:b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5F72"/>
    <w:rPr>
      <w:rFonts w:ascii="Calibri" w:eastAsiaTheme="majorEastAsia" w:hAnsi="Calibri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5F72"/>
    <w:rPr>
      <w:rFonts w:ascii="Calibri" w:eastAsiaTheme="majorEastAsia" w:hAnsi="Calibri" w:cstheme="majorBidi"/>
      <w:b/>
      <w:bCs/>
      <w:color w:val="000000" w:themeColor="text1"/>
    </w:rPr>
  </w:style>
  <w:style w:type="table" w:styleId="TableGrid">
    <w:name w:val="Table Grid"/>
    <w:basedOn w:val="TableNormal"/>
    <w:uiPriority w:val="59"/>
    <w:rsid w:val="00FA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C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53"/>
    <w:rPr>
      <w:rFonts w:ascii="Arial" w:eastAsia="PMingLiU" w:hAnsi="Arial" w:cs="Arial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3F2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53"/>
    <w:rPr>
      <w:rFonts w:ascii="Arial" w:eastAsia="PMingLiU" w:hAnsi="Arial" w:cs="Arial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553"/>
    <w:rPr>
      <w:rFonts w:ascii="Tahoma" w:eastAsia="PMingLiU" w:hAnsi="Tahoma" w:cs="Tahoma"/>
      <w:sz w:val="16"/>
      <w:szCs w:val="16"/>
      <w:lang w:val="en-GB" w:eastAsia="zh-TW"/>
    </w:rPr>
  </w:style>
  <w:style w:type="character" w:customStyle="1" w:styleId="apple-converted-space">
    <w:name w:val="apple-converted-space"/>
    <w:basedOn w:val="DefaultParagraphFont"/>
    <w:rsid w:val="00E0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AC11-A509-427D-99AD-FE176FEF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dcu</dc:creator>
  <cp:lastModifiedBy>Celine Heffernan</cp:lastModifiedBy>
  <cp:revision>3</cp:revision>
  <cp:lastPrinted>2018-01-09T10:59:00Z</cp:lastPrinted>
  <dcterms:created xsi:type="dcterms:W3CDTF">2019-01-10T12:04:00Z</dcterms:created>
  <dcterms:modified xsi:type="dcterms:W3CDTF">2019-01-10T12:14:00Z</dcterms:modified>
</cp:coreProperties>
</file>