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8" w:rsidRDefault="006052F4" w:rsidP="005F11F8">
      <w:pPr>
        <w:rPr>
          <w:b/>
        </w:rPr>
      </w:pPr>
      <w:r>
        <w:rPr>
          <w:noProof/>
          <w:lang w:eastAsia="en-IE"/>
        </w:rPr>
        <w:drawing>
          <wp:inline distT="0" distB="0" distL="0" distR="0" wp14:anchorId="0B7105A3" wp14:editId="09F1F990">
            <wp:extent cx="904875" cy="984426"/>
            <wp:effectExtent l="0" t="0" r="0" b="635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538" cy="992763"/>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350"/>
      </w:tblGrid>
      <w:tr w:rsidR="005F11F8" w:rsidTr="00106F9D">
        <w:tc>
          <w:tcPr>
            <w:tcW w:w="9576" w:type="dxa"/>
            <w:shd w:val="clear" w:color="auto" w:fill="D6E3BC" w:themeFill="accent3" w:themeFillTint="66"/>
          </w:tcPr>
          <w:p w:rsidR="000867EF" w:rsidRDefault="005F11F8" w:rsidP="00884520">
            <w:pPr>
              <w:rPr>
                <w:rStyle w:val="Hyperlink"/>
              </w:rPr>
            </w:pPr>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xml:space="preserve">, </w:t>
            </w:r>
            <w:r w:rsidR="002F1287">
              <w:t xml:space="preserve">Dublin City University, </w:t>
            </w:r>
            <w:r w:rsidRPr="00237522">
              <w:t xml:space="preserve">Academic Affairs, Room D106, Bea </w:t>
            </w:r>
            <w:proofErr w:type="spellStart"/>
            <w:r w:rsidRPr="00237522">
              <w:t>Orpen</w:t>
            </w:r>
            <w:proofErr w:type="spellEnd"/>
            <w:r w:rsidRPr="00237522">
              <w:t xml:space="preserve"> Building</w:t>
            </w:r>
            <w:r w:rsidRPr="006C10B7">
              <w:t>, DCU Glasnevin Campus, Dublin</w:t>
            </w:r>
            <w:r w:rsidRPr="00237522">
              <w:t xml:space="preserve"> 9</w:t>
            </w:r>
            <w:r w:rsidR="009E216F">
              <w:t>, within 10 days of the promulgation of your examination results on</w:t>
            </w:r>
            <w:r w:rsidR="00106F9D">
              <w:t>-line</w:t>
            </w:r>
            <w:r w:rsidR="000867EF">
              <w:t xml:space="preserve">.  </w:t>
            </w:r>
            <w:r w:rsidR="000867EF">
              <w:t xml:space="preserve">The </w:t>
            </w:r>
            <w:r w:rsidR="000867EF">
              <w:rPr>
                <w:b/>
                <w:u w:val="single"/>
              </w:rPr>
              <w:t>c</w:t>
            </w:r>
            <w:r w:rsidR="000867EF" w:rsidRPr="004E0EC9">
              <w:rPr>
                <w:b/>
                <w:u w:val="single"/>
              </w:rPr>
              <w:t>losing date and submission instructions</w:t>
            </w:r>
            <w:r w:rsidR="000867EF">
              <w:t xml:space="preserve"> are available at: </w:t>
            </w:r>
            <w:hyperlink r:id="rId8" w:history="1">
              <w:r w:rsidR="000867EF">
                <w:rPr>
                  <w:rStyle w:val="Hyperlink"/>
                </w:rPr>
                <w:t>https://www.dcu.ie/sites/default/files/ovpaa/pdfs/mar_2020_appeals_recheck_and_assessment_review_closing_date.pdf</w:t>
              </w:r>
            </w:hyperlink>
          </w:p>
          <w:p w:rsidR="005F11F8" w:rsidRPr="00237522" w:rsidRDefault="005F11F8" w:rsidP="00884520">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Default="00E328C4" w:rsidP="00F2093D">
            <w:pPr>
              <w:widowControl w:val="0"/>
              <w:rPr>
                <w:b/>
              </w:rPr>
            </w:pPr>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w:t>
            </w:r>
            <w:bookmarkStart w:id="0" w:name="_GoBack"/>
            <w:bookmarkEnd w:id="0"/>
            <w:r>
              <w:rPr>
                <w:b/>
              </w:rPr>
              <w:t>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lastRenderedPageBreak/>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t>Have you availed of the facility to view your 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grade, or assertions that a grade does not reflect the level of work undertaken are not an acceptable basis for the conduct of an assessment review.  </w:t>
      </w: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w:t>
            </w:r>
            <w:proofErr w:type="spellStart"/>
            <w:r w:rsidR="003D03EF">
              <w:t>Orpen</w:t>
            </w:r>
            <w:proofErr w:type="spellEnd"/>
            <w:r w:rsidR="003D03EF">
              <w:t xml:space="preserve">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lastRenderedPageBreak/>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EF9C9"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A903"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10"/>
      <w:headerReference w:type="first" r:id="rId11"/>
      <w:footerReference w:type="first" r:id="rId12"/>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67E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7EF">
              <w:rPr>
                <w:b/>
                <w:bCs/>
                <w:noProof/>
              </w:rPr>
              <w:t>4</w:t>
            </w:r>
            <w:r>
              <w:rPr>
                <w:b/>
                <w:bCs/>
                <w:sz w:val="24"/>
                <w:szCs w:val="24"/>
              </w:rPr>
              <w:fldChar w:fldCharType="end"/>
            </w:r>
          </w:p>
        </w:sdtContent>
      </w:sdt>
    </w:sdtContent>
  </w:sdt>
  <w:p w:rsidR="005E2E18" w:rsidRDefault="005E2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EF" w:rsidRPr="000867EF" w:rsidRDefault="000867EF" w:rsidP="000867EF">
    <w:pPr>
      <w:pStyle w:val="Footer"/>
      <w:jc w:val="right"/>
      <w:rPr>
        <w:b/>
      </w:rPr>
    </w:pPr>
    <w:r w:rsidRPr="000867EF">
      <w:rPr>
        <w:b/>
      </w:rP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D" w:rsidRPr="00766F1D" w:rsidRDefault="000867EF" w:rsidP="00237895">
    <w:pPr>
      <w:pStyle w:val="Header"/>
      <w:rPr>
        <w:b/>
        <w:sz w:val="36"/>
        <w:szCs w:val="36"/>
      </w:rPr>
    </w:pPr>
    <w:r>
      <w:rPr>
        <w:sz w:val="16"/>
        <w:szCs w:val="16"/>
      </w:rPr>
      <w:t>January 2020</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BF"/>
    <w:rsid w:val="000011ED"/>
    <w:rsid w:val="00002E45"/>
    <w:rsid w:val="00017127"/>
    <w:rsid w:val="00021ADB"/>
    <w:rsid w:val="000328FA"/>
    <w:rsid w:val="00072D0C"/>
    <w:rsid w:val="0008677F"/>
    <w:rsid w:val="000867E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2F1287"/>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052F4"/>
    <w:rsid w:val="006252B2"/>
    <w:rsid w:val="00625A45"/>
    <w:rsid w:val="00631EB5"/>
    <w:rsid w:val="00646DBF"/>
    <w:rsid w:val="00656257"/>
    <w:rsid w:val="00656B02"/>
    <w:rsid w:val="0066040A"/>
    <w:rsid w:val="0067622A"/>
    <w:rsid w:val="006843A0"/>
    <w:rsid w:val="00686DA9"/>
    <w:rsid w:val="006A77D4"/>
    <w:rsid w:val="006B2BE4"/>
    <w:rsid w:val="006B5268"/>
    <w:rsid w:val="006C17D5"/>
    <w:rsid w:val="006C2DA7"/>
    <w:rsid w:val="006F4322"/>
    <w:rsid w:val="00721738"/>
    <w:rsid w:val="00737D79"/>
    <w:rsid w:val="00754D68"/>
    <w:rsid w:val="00756AE9"/>
    <w:rsid w:val="00766F1D"/>
    <w:rsid w:val="007679BB"/>
    <w:rsid w:val="007B61A2"/>
    <w:rsid w:val="007B710C"/>
    <w:rsid w:val="007C5717"/>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0D60"/>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D59F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8E4C"/>
  <w15:docId w15:val="{2489C951-C4CD-4917-B6F6-9FDF243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 w:type="character" w:styleId="Hyperlink">
    <w:name w:val="Hyperlink"/>
    <w:basedOn w:val="DefaultParagraphFont"/>
    <w:uiPriority w:val="99"/>
    <w:semiHidden/>
    <w:unhideWhenUsed/>
    <w:rsid w:val="00086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sites/default/files/ovpaa/pdfs/mar_2020_appeals_recheck_and_assessment_review_closing_da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cp:revision>
  <cp:lastPrinted>2018-07-20T10:51:00Z</cp:lastPrinted>
  <dcterms:created xsi:type="dcterms:W3CDTF">2019-10-21T13:14:00Z</dcterms:created>
  <dcterms:modified xsi:type="dcterms:W3CDTF">2020-01-14T11:14:00Z</dcterms:modified>
</cp:coreProperties>
</file>