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AA" w:rsidRDefault="007F33AA" w:rsidP="00906084">
      <w:pPr>
        <w:spacing w:before="100" w:beforeAutospacing="1" w:after="100" w:afterAutospacing="1"/>
        <w:textAlignment w:val="top"/>
        <w:outlineLvl w:val="2"/>
        <w:rPr>
          <w:rFonts w:cs="Arial"/>
          <w:bCs/>
          <w:sz w:val="20"/>
          <w:szCs w:val="20"/>
          <w:lang w:val="en" w:eastAsia="en-GB"/>
        </w:rPr>
      </w:pPr>
      <w:r w:rsidRPr="00ED6A60">
        <w:rPr>
          <w:rFonts w:cs="Arial"/>
          <w:b/>
          <w:bCs/>
          <w:sz w:val="28"/>
          <w:szCs w:val="28"/>
          <w:lang w:val="en" w:eastAsia="en-GB"/>
        </w:rPr>
        <w:t xml:space="preserve">Terms of Reference </w:t>
      </w:r>
      <w:r w:rsidR="00906084" w:rsidRPr="00ED6A60">
        <w:rPr>
          <w:rFonts w:cs="Arial"/>
          <w:b/>
          <w:bCs/>
          <w:sz w:val="28"/>
          <w:szCs w:val="28"/>
          <w:lang w:val="en" w:eastAsia="en-GB"/>
        </w:rPr>
        <w:t xml:space="preserve">for the </w:t>
      </w:r>
      <w:r w:rsidR="004C79FF">
        <w:rPr>
          <w:rFonts w:cs="Arial"/>
          <w:b/>
          <w:bCs/>
          <w:sz w:val="28"/>
          <w:szCs w:val="28"/>
          <w:lang w:val="en" w:eastAsia="en-GB"/>
        </w:rPr>
        <w:t xml:space="preserve">DCU </w:t>
      </w:r>
      <w:r w:rsidR="00906084" w:rsidRPr="00ED6A60">
        <w:rPr>
          <w:rFonts w:cs="Arial"/>
          <w:b/>
          <w:bCs/>
          <w:sz w:val="28"/>
          <w:szCs w:val="28"/>
          <w:lang w:val="en" w:eastAsia="en-GB"/>
        </w:rPr>
        <w:t>Quality Promotion Committee</w:t>
      </w:r>
    </w:p>
    <w:p w:rsidR="004B116B" w:rsidRPr="007351B1" w:rsidRDefault="000024BB" w:rsidP="00906084">
      <w:pPr>
        <w:spacing w:before="100" w:beforeAutospacing="1" w:after="100" w:afterAutospacing="1"/>
        <w:textAlignment w:val="top"/>
        <w:outlineLvl w:val="2"/>
        <w:rPr>
          <w:rFonts w:cs="Arial"/>
          <w:bCs/>
          <w:sz w:val="22"/>
          <w:szCs w:val="22"/>
          <w:lang w:val="en" w:eastAsia="en-GB"/>
        </w:rPr>
      </w:pPr>
      <w:r w:rsidRPr="007351B1">
        <w:rPr>
          <w:rFonts w:cs="Arial"/>
          <w:bCs/>
          <w:sz w:val="22"/>
          <w:szCs w:val="22"/>
          <w:lang w:val="en" w:eastAsia="en-GB"/>
        </w:rPr>
        <w:t xml:space="preserve">These Terms of Reference were agreed </w:t>
      </w:r>
      <w:r w:rsidR="00115409">
        <w:rPr>
          <w:rFonts w:cs="Arial"/>
          <w:bCs/>
          <w:sz w:val="22"/>
          <w:szCs w:val="22"/>
          <w:lang w:val="en" w:eastAsia="en-GB"/>
        </w:rPr>
        <w:t xml:space="preserve">and approved </w:t>
      </w:r>
      <w:r w:rsidRPr="007351B1">
        <w:rPr>
          <w:rFonts w:cs="Arial"/>
          <w:bCs/>
          <w:sz w:val="22"/>
          <w:szCs w:val="22"/>
          <w:lang w:val="en" w:eastAsia="en-GB"/>
        </w:rPr>
        <w:t xml:space="preserve">at the Quality Promotion Committee </w:t>
      </w:r>
      <w:r w:rsidR="00382CF3" w:rsidRPr="007351B1">
        <w:rPr>
          <w:rFonts w:cs="Arial"/>
          <w:bCs/>
          <w:sz w:val="22"/>
          <w:szCs w:val="22"/>
          <w:lang w:val="en" w:eastAsia="en-GB"/>
        </w:rPr>
        <w:t>o</w:t>
      </w:r>
      <w:r w:rsidR="00115409">
        <w:rPr>
          <w:rFonts w:cs="Arial"/>
          <w:bCs/>
          <w:sz w:val="22"/>
          <w:szCs w:val="22"/>
          <w:lang w:val="en" w:eastAsia="en-GB"/>
        </w:rPr>
        <w:t>f</w:t>
      </w:r>
      <w:r w:rsidR="00382CF3" w:rsidRPr="007351B1">
        <w:rPr>
          <w:rFonts w:cs="Arial"/>
          <w:bCs/>
          <w:sz w:val="22"/>
          <w:szCs w:val="22"/>
          <w:lang w:val="en" w:eastAsia="en-GB"/>
        </w:rPr>
        <w:t xml:space="preserve"> </w:t>
      </w:r>
      <w:r w:rsidR="00FA1573" w:rsidRPr="007351B1">
        <w:rPr>
          <w:rFonts w:cs="Arial"/>
          <w:bCs/>
          <w:sz w:val="22"/>
          <w:szCs w:val="22"/>
          <w:lang w:val="en" w:eastAsia="en-GB"/>
        </w:rPr>
        <w:t>7</w:t>
      </w:r>
      <w:r w:rsidR="00FA1573" w:rsidRPr="007351B1">
        <w:rPr>
          <w:rFonts w:cs="Arial"/>
          <w:bCs/>
          <w:sz w:val="22"/>
          <w:szCs w:val="22"/>
          <w:vertAlign w:val="superscript"/>
          <w:lang w:val="en" w:eastAsia="en-GB"/>
        </w:rPr>
        <w:t>th</w:t>
      </w:r>
      <w:r w:rsidR="00FA1573" w:rsidRPr="007351B1">
        <w:rPr>
          <w:rFonts w:cs="Arial"/>
          <w:bCs/>
          <w:sz w:val="22"/>
          <w:szCs w:val="22"/>
          <w:lang w:val="en" w:eastAsia="en-GB"/>
        </w:rPr>
        <w:t xml:space="preserve"> January 2009</w:t>
      </w:r>
      <w:r w:rsidR="00115409">
        <w:rPr>
          <w:rFonts w:cs="Arial"/>
          <w:bCs/>
          <w:sz w:val="22"/>
          <w:szCs w:val="22"/>
          <w:lang w:val="en" w:eastAsia="en-GB"/>
        </w:rPr>
        <w:t>.</w:t>
      </w:r>
      <w:r w:rsidR="004B116B">
        <w:rPr>
          <w:rFonts w:cs="Arial"/>
          <w:bCs/>
          <w:sz w:val="22"/>
          <w:szCs w:val="22"/>
          <w:lang w:val="en" w:eastAsia="en-GB"/>
        </w:rPr>
        <w:t xml:space="preserve"> They were subsequently revised and approved by QPC on</w:t>
      </w:r>
      <w:r w:rsidR="00115409">
        <w:rPr>
          <w:rFonts w:cs="Arial"/>
          <w:bCs/>
          <w:sz w:val="22"/>
          <w:szCs w:val="22"/>
          <w:lang w:val="en" w:eastAsia="en-GB"/>
        </w:rPr>
        <w:t>:</w:t>
      </w:r>
      <w:r w:rsidR="004B116B">
        <w:rPr>
          <w:rFonts w:cs="Arial"/>
          <w:bCs/>
          <w:sz w:val="22"/>
          <w:szCs w:val="22"/>
          <w:lang w:val="en" w:eastAsia="en-GB"/>
        </w:rPr>
        <w:t xml:space="preserve"> </w:t>
      </w:r>
      <w:r w:rsidR="00115409">
        <w:rPr>
          <w:rFonts w:cs="Arial"/>
          <w:bCs/>
          <w:sz w:val="22"/>
          <w:szCs w:val="22"/>
          <w:lang w:val="en" w:eastAsia="en-GB"/>
        </w:rPr>
        <w:t xml:space="preserve">16 </w:t>
      </w:r>
      <w:r w:rsidR="004B116B">
        <w:rPr>
          <w:rFonts w:cs="Arial"/>
          <w:bCs/>
          <w:sz w:val="22"/>
          <w:szCs w:val="22"/>
          <w:lang w:val="en" w:eastAsia="en-GB"/>
        </w:rPr>
        <w:t>May 2012</w:t>
      </w:r>
      <w:r w:rsidR="00297255">
        <w:rPr>
          <w:rFonts w:cs="Arial"/>
          <w:bCs/>
          <w:sz w:val="22"/>
          <w:szCs w:val="22"/>
          <w:lang w:val="en" w:eastAsia="en-GB"/>
        </w:rPr>
        <w:t xml:space="preserve"> and 28</w:t>
      </w:r>
      <w:r w:rsidR="00297255" w:rsidRPr="00431606">
        <w:rPr>
          <w:rFonts w:cs="Arial"/>
          <w:bCs/>
          <w:sz w:val="22"/>
          <w:szCs w:val="22"/>
          <w:vertAlign w:val="superscript"/>
          <w:lang w:val="en" w:eastAsia="en-GB"/>
        </w:rPr>
        <w:t>th</w:t>
      </w:r>
      <w:r w:rsidR="00297255">
        <w:rPr>
          <w:rFonts w:cs="Arial"/>
          <w:bCs/>
          <w:sz w:val="22"/>
          <w:szCs w:val="22"/>
          <w:lang w:val="en" w:eastAsia="en-GB"/>
        </w:rPr>
        <w:t xml:space="preserve"> May, 2017</w:t>
      </w:r>
      <w:r w:rsidR="00115409">
        <w:rPr>
          <w:rFonts w:cs="Arial"/>
          <w:bCs/>
          <w:sz w:val="22"/>
          <w:szCs w:val="22"/>
          <w:lang w:val="en" w:eastAsia="en-GB"/>
        </w:rPr>
        <w:t>.</w:t>
      </w:r>
    </w:p>
    <w:p w:rsidR="00906084" w:rsidRPr="00ED6A60" w:rsidRDefault="00906084" w:rsidP="00906084">
      <w:pPr>
        <w:numPr>
          <w:ilvl w:val="0"/>
          <w:numId w:val="1"/>
        </w:numPr>
        <w:spacing w:before="150" w:after="150"/>
        <w:textAlignment w:val="top"/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The Quality Promotion Committee is a </w:t>
      </w:r>
      <w:r w:rsidR="005E1D9E">
        <w:rPr>
          <w:rFonts w:cs="Arial"/>
          <w:color w:val="000000"/>
          <w:sz w:val="22"/>
          <w:szCs w:val="22"/>
          <w:lang w:val="en" w:eastAsia="en-GB"/>
        </w:rPr>
        <w:t>sub</w:t>
      </w: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committee of the </w:t>
      </w:r>
      <w:r w:rsidR="005E1D9E">
        <w:rPr>
          <w:rFonts w:cs="Arial"/>
          <w:color w:val="000000"/>
          <w:sz w:val="22"/>
          <w:szCs w:val="22"/>
          <w:lang w:val="en" w:eastAsia="en-GB"/>
        </w:rPr>
        <w:t xml:space="preserve">DCU </w:t>
      </w:r>
      <w:r w:rsidRPr="00ED6A60">
        <w:rPr>
          <w:rFonts w:cs="Arial"/>
          <w:color w:val="000000"/>
          <w:sz w:val="22"/>
          <w:szCs w:val="22"/>
          <w:lang w:val="en" w:eastAsia="en-GB"/>
        </w:rPr>
        <w:t>Executive</w:t>
      </w:r>
      <w:r w:rsidR="005E1D9E">
        <w:rPr>
          <w:rFonts w:cs="Arial"/>
          <w:color w:val="000000"/>
          <w:sz w:val="22"/>
          <w:szCs w:val="22"/>
          <w:lang w:val="en" w:eastAsia="en-GB"/>
        </w:rPr>
        <w:t xml:space="preserve"> Committee (Executive)</w:t>
      </w:r>
      <w:r w:rsidRPr="00ED6A60">
        <w:rPr>
          <w:rFonts w:cs="Arial"/>
          <w:color w:val="000000"/>
          <w:sz w:val="22"/>
          <w:szCs w:val="22"/>
          <w:lang w:val="en" w:eastAsia="en-GB"/>
        </w:rPr>
        <w:t>.</w:t>
      </w:r>
    </w:p>
    <w:p w:rsidR="00906084" w:rsidRPr="00ED6A60" w:rsidRDefault="00906084" w:rsidP="00906084">
      <w:pPr>
        <w:numPr>
          <w:ilvl w:val="0"/>
          <w:numId w:val="1"/>
        </w:numPr>
        <w:spacing w:before="150" w:after="150"/>
        <w:textAlignment w:val="top"/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Membership of the Quality Promotion Committee </w:t>
      </w:r>
      <w:r w:rsidR="005E1D9E">
        <w:rPr>
          <w:rFonts w:cs="Arial"/>
          <w:color w:val="000000"/>
          <w:sz w:val="22"/>
          <w:szCs w:val="22"/>
          <w:lang w:val="en" w:eastAsia="en-GB"/>
        </w:rPr>
        <w:t>shall be</w:t>
      </w:r>
      <w:r w:rsidR="005E1D9E" w:rsidRPr="00ED6A60">
        <w:rPr>
          <w:rFonts w:cs="Arial"/>
          <w:color w:val="000000"/>
          <w:sz w:val="22"/>
          <w:szCs w:val="22"/>
          <w:lang w:val="en" w:eastAsia="en-GB"/>
        </w:rPr>
        <w:t xml:space="preserve"> </w:t>
      </w: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drawn from all parts of the University and </w:t>
      </w:r>
      <w:r w:rsidR="005E1D9E">
        <w:rPr>
          <w:rFonts w:cs="Arial"/>
          <w:color w:val="000000"/>
          <w:sz w:val="22"/>
          <w:szCs w:val="22"/>
          <w:lang w:val="en" w:eastAsia="en-GB"/>
        </w:rPr>
        <w:t>shall</w:t>
      </w:r>
      <w:r w:rsidR="005E1D9E" w:rsidRPr="00ED6A60">
        <w:rPr>
          <w:rFonts w:cs="Arial"/>
          <w:color w:val="000000"/>
          <w:sz w:val="22"/>
          <w:szCs w:val="22"/>
          <w:lang w:val="en" w:eastAsia="en-GB"/>
        </w:rPr>
        <w:t xml:space="preserve"> </w:t>
      </w: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represent all </w:t>
      </w:r>
      <w:r w:rsidR="004C79FF">
        <w:rPr>
          <w:rFonts w:cs="Arial"/>
          <w:color w:val="000000"/>
          <w:sz w:val="22"/>
          <w:szCs w:val="22"/>
          <w:lang w:val="en" w:eastAsia="en-GB"/>
        </w:rPr>
        <w:t>Academic Areas</w:t>
      </w:r>
      <w:r w:rsidR="00976E94">
        <w:rPr>
          <w:rFonts w:cs="Arial"/>
          <w:color w:val="000000"/>
          <w:sz w:val="22"/>
          <w:szCs w:val="22"/>
          <w:lang w:val="en" w:eastAsia="en-GB"/>
        </w:rPr>
        <w:t xml:space="preserve"> </w:t>
      </w:r>
      <w:r w:rsidRPr="00ED6A60">
        <w:rPr>
          <w:rFonts w:cs="Arial"/>
          <w:color w:val="000000"/>
          <w:sz w:val="22"/>
          <w:szCs w:val="22"/>
          <w:lang w:val="en" w:eastAsia="en-GB"/>
        </w:rPr>
        <w:t>in the University. (A detailed overview of the membership of the QPC is contained in Appendix 1).</w:t>
      </w:r>
    </w:p>
    <w:p w:rsidR="00906084" w:rsidRPr="00ED6A60" w:rsidRDefault="00906084" w:rsidP="00906084">
      <w:pPr>
        <w:numPr>
          <w:ilvl w:val="0"/>
          <w:numId w:val="1"/>
        </w:numPr>
        <w:spacing w:before="150" w:after="150"/>
        <w:textAlignment w:val="top"/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The University President </w:t>
      </w:r>
      <w:r w:rsidRPr="007351B1">
        <w:rPr>
          <w:rFonts w:cs="Arial"/>
          <w:sz w:val="22"/>
          <w:szCs w:val="22"/>
          <w:lang w:val="en" w:eastAsia="en-GB"/>
        </w:rPr>
        <w:t xml:space="preserve">or </w:t>
      </w:r>
      <w:r w:rsidR="00F861CF" w:rsidRPr="007351B1">
        <w:rPr>
          <w:rFonts w:cs="Arial"/>
          <w:sz w:val="22"/>
          <w:szCs w:val="22"/>
          <w:lang w:val="en" w:eastAsia="en-GB"/>
        </w:rPr>
        <w:t>his</w:t>
      </w:r>
      <w:r w:rsidR="00976E94">
        <w:rPr>
          <w:rFonts w:cs="Arial"/>
          <w:sz w:val="22"/>
          <w:szCs w:val="22"/>
          <w:lang w:val="en" w:eastAsia="en-GB"/>
        </w:rPr>
        <w:t>/her</w:t>
      </w:r>
      <w:r w:rsidR="00F861CF" w:rsidRPr="007351B1">
        <w:rPr>
          <w:rFonts w:cs="Arial"/>
          <w:sz w:val="22"/>
          <w:szCs w:val="22"/>
          <w:lang w:val="en" w:eastAsia="en-GB"/>
        </w:rPr>
        <w:t xml:space="preserve"> designee</w:t>
      </w: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 shall be the Chair of the Quality Promotion Committee</w:t>
      </w:r>
      <w:r w:rsidR="000757D6" w:rsidRPr="00ED6A60">
        <w:rPr>
          <w:rFonts w:cs="Arial"/>
          <w:color w:val="000000"/>
          <w:sz w:val="22"/>
          <w:szCs w:val="22"/>
          <w:lang w:val="en" w:eastAsia="en-GB"/>
        </w:rPr>
        <w:t>.</w:t>
      </w:r>
    </w:p>
    <w:p w:rsidR="000757D6" w:rsidRPr="00ED6A60" w:rsidRDefault="000757D6" w:rsidP="00906084">
      <w:pPr>
        <w:numPr>
          <w:ilvl w:val="0"/>
          <w:numId w:val="1"/>
        </w:numPr>
        <w:spacing w:before="150" w:after="150"/>
        <w:textAlignment w:val="top"/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Members of the Governing Authority shall have the right of attendance at meetings of the Quality Promotion Committee as observers and without a vote. </w:t>
      </w:r>
    </w:p>
    <w:p w:rsidR="00FA1573" w:rsidRDefault="001E27AE" w:rsidP="00FA1573">
      <w:pPr>
        <w:numPr>
          <w:ilvl w:val="0"/>
          <w:numId w:val="1"/>
        </w:numPr>
        <w:spacing w:before="150" w:after="150"/>
        <w:textAlignment w:val="top"/>
        <w:rPr>
          <w:rFonts w:cs="Arial"/>
          <w:color w:val="000000"/>
          <w:sz w:val="22"/>
          <w:szCs w:val="22"/>
          <w:lang w:val="en" w:eastAsia="en-GB"/>
        </w:rPr>
      </w:pPr>
      <w:r>
        <w:rPr>
          <w:rFonts w:cs="Arial"/>
          <w:color w:val="000000"/>
          <w:sz w:val="22"/>
          <w:szCs w:val="22"/>
          <w:lang w:val="en" w:eastAsia="en-GB"/>
        </w:rPr>
        <w:t>Six m</w:t>
      </w:r>
      <w:r w:rsidR="000757D6" w:rsidRPr="00ED6A60">
        <w:rPr>
          <w:rFonts w:cs="Arial"/>
          <w:color w:val="000000"/>
          <w:sz w:val="22"/>
          <w:szCs w:val="22"/>
          <w:lang w:val="en" w:eastAsia="en-GB"/>
        </w:rPr>
        <w:t>eetings of the Quality Promotion Committee sh</w:t>
      </w:r>
      <w:r>
        <w:rPr>
          <w:rFonts w:cs="Arial"/>
          <w:color w:val="000000"/>
          <w:sz w:val="22"/>
          <w:szCs w:val="22"/>
          <w:lang w:val="en" w:eastAsia="en-GB"/>
        </w:rPr>
        <w:t>all</w:t>
      </w:r>
      <w:r w:rsidR="000757D6" w:rsidRPr="00ED6A60">
        <w:rPr>
          <w:rFonts w:cs="Arial"/>
          <w:color w:val="000000"/>
          <w:sz w:val="22"/>
          <w:szCs w:val="22"/>
          <w:lang w:val="en" w:eastAsia="en-GB"/>
        </w:rPr>
        <w:t xml:space="preserve"> take place </w:t>
      </w:r>
      <w:r>
        <w:rPr>
          <w:rFonts w:cs="Arial"/>
          <w:color w:val="000000"/>
          <w:sz w:val="22"/>
          <w:szCs w:val="22"/>
          <w:lang w:val="en" w:eastAsia="en-GB"/>
        </w:rPr>
        <w:t>every academic year</w:t>
      </w:r>
      <w:r w:rsidR="000757D6" w:rsidRPr="00ED6A60">
        <w:rPr>
          <w:rFonts w:cs="Arial"/>
          <w:color w:val="000000"/>
          <w:sz w:val="22"/>
          <w:szCs w:val="22"/>
          <w:lang w:val="en" w:eastAsia="en-GB"/>
        </w:rPr>
        <w:t>.</w:t>
      </w:r>
    </w:p>
    <w:p w:rsidR="00FA1573" w:rsidRDefault="00FA1573" w:rsidP="00FA1573">
      <w:pPr>
        <w:numPr>
          <w:ilvl w:val="0"/>
          <w:numId w:val="1"/>
        </w:numPr>
        <w:spacing w:before="150" w:after="150"/>
        <w:textAlignment w:val="top"/>
        <w:rPr>
          <w:rFonts w:cs="Arial"/>
          <w:color w:val="000000"/>
          <w:sz w:val="22"/>
          <w:szCs w:val="22"/>
          <w:lang w:val="en" w:eastAsia="en-GB"/>
        </w:rPr>
      </w:pPr>
      <w:r>
        <w:rPr>
          <w:rFonts w:cs="Arial"/>
          <w:color w:val="000000"/>
          <w:sz w:val="22"/>
          <w:szCs w:val="22"/>
          <w:lang w:val="en" w:eastAsia="en-GB"/>
        </w:rPr>
        <w:t xml:space="preserve">The term of </w:t>
      </w:r>
      <w:r w:rsidR="00115409">
        <w:rPr>
          <w:rFonts w:cs="Arial"/>
          <w:color w:val="000000"/>
          <w:sz w:val="22"/>
          <w:szCs w:val="22"/>
          <w:lang w:val="en" w:eastAsia="en-GB"/>
        </w:rPr>
        <w:t xml:space="preserve">office of representative </w:t>
      </w:r>
      <w:r>
        <w:rPr>
          <w:rFonts w:cs="Arial"/>
          <w:color w:val="000000"/>
          <w:sz w:val="22"/>
          <w:szCs w:val="22"/>
          <w:lang w:val="en" w:eastAsia="en-GB"/>
        </w:rPr>
        <w:t>membership o</w:t>
      </w:r>
      <w:r w:rsidR="00115409">
        <w:rPr>
          <w:rFonts w:cs="Arial"/>
          <w:color w:val="000000"/>
          <w:sz w:val="22"/>
          <w:szCs w:val="22"/>
          <w:lang w:val="en" w:eastAsia="en-GB"/>
        </w:rPr>
        <w:t>n</w:t>
      </w:r>
      <w:r>
        <w:rPr>
          <w:rFonts w:cs="Arial"/>
          <w:color w:val="000000"/>
          <w:sz w:val="22"/>
          <w:szCs w:val="22"/>
          <w:lang w:val="en" w:eastAsia="en-GB"/>
        </w:rPr>
        <w:t xml:space="preserve"> the Quality Promotion Committee shall be three years</w:t>
      </w:r>
      <w:r w:rsidR="007669E8">
        <w:rPr>
          <w:rFonts w:cs="Arial"/>
          <w:color w:val="000000"/>
          <w:sz w:val="22"/>
          <w:szCs w:val="22"/>
          <w:lang w:val="en" w:eastAsia="en-GB"/>
        </w:rPr>
        <w:t xml:space="preserve"> for academic members, and </w:t>
      </w:r>
      <w:r w:rsidR="00274A2B">
        <w:rPr>
          <w:rFonts w:cs="Arial"/>
          <w:color w:val="000000"/>
          <w:sz w:val="22"/>
          <w:szCs w:val="22"/>
          <w:lang w:val="en" w:eastAsia="en-GB"/>
        </w:rPr>
        <w:t>two</w:t>
      </w:r>
      <w:r w:rsidR="007669E8">
        <w:rPr>
          <w:rFonts w:cs="Arial"/>
          <w:color w:val="000000"/>
          <w:sz w:val="22"/>
          <w:szCs w:val="22"/>
          <w:lang w:val="en" w:eastAsia="en-GB"/>
        </w:rPr>
        <w:t xml:space="preserve"> years for rotating professional support areas</w:t>
      </w:r>
      <w:r>
        <w:rPr>
          <w:rFonts w:cs="Arial"/>
          <w:color w:val="000000"/>
          <w:sz w:val="22"/>
          <w:szCs w:val="22"/>
          <w:lang w:val="en" w:eastAsia="en-GB"/>
        </w:rPr>
        <w:t xml:space="preserve">; a maximum of two terms per </w:t>
      </w:r>
      <w:r w:rsidR="001E27AE">
        <w:rPr>
          <w:rFonts w:cs="Arial"/>
          <w:color w:val="000000"/>
          <w:sz w:val="22"/>
          <w:szCs w:val="22"/>
          <w:lang w:val="en" w:eastAsia="en-GB"/>
        </w:rPr>
        <w:t xml:space="preserve">person </w:t>
      </w:r>
      <w:r w:rsidR="005E1D9E">
        <w:rPr>
          <w:rFonts w:cs="Arial"/>
          <w:color w:val="000000"/>
          <w:sz w:val="22"/>
          <w:szCs w:val="22"/>
          <w:lang w:val="en" w:eastAsia="en-GB"/>
        </w:rPr>
        <w:t xml:space="preserve">shall </w:t>
      </w:r>
      <w:r w:rsidR="001E27AE">
        <w:rPr>
          <w:rFonts w:cs="Arial"/>
          <w:color w:val="000000"/>
          <w:sz w:val="22"/>
          <w:szCs w:val="22"/>
          <w:lang w:val="en" w:eastAsia="en-GB"/>
        </w:rPr>
        <w:t>normally</w:t>
      </w:r>
      <w:r>
        <w:rPr>
          <w:rFonts w:cs="Arial"/>
          <w:color w:val="000000"/>
          <w:sz w:val="22"/>
          <w:szCs w:val="22"/>
          <w:lang w:val="en" w:eastAsia="en-GB"/>
        </w:rPr>
        <w:t xml:space="preserve"> appl</w:t>
      </w:r>
      <w:r w:rsidR="005E1D9E">
        <w:rPr>
          <w:rFonts w:cs="Arial"/>
          <w:color w:val="000000"/>
          <w:sz w:val="22"/>
          <w:szCs w:val="22"/>
          <w:lang w:val="en" w:eastAsia="en-GB"/>
        </w:rPr>
        <w:t>y</w:t>
      </w:r>
      <w:r>
        <w:rPr>
          <w:rFonts w:cs="Arial"/>
          <w:color w:val="000000"/>
          <w:sz w:val="22"/>
          <w:szCs w:val="22"/>
          <w:lang w:val="en" w:eastAsia="en-GB"/>
        </w:rPr>
        <w:t>.</w:t>
      </w:r>
    </w:p>
    <w:p w:rsidR="00FA1573" w:rsidRDefault="00FA1573" w:rsidP="00FA1573">
      <w:pPr>
        <w:numPr>
          <w:ilvl w:val="0"/>
          <w:numId w:val="1"/>
        </w:numPr>
        <w:spacing w:before="150" w:after="150"/>
        <w:textAlignment w:val="top"/>
        <w:rPr>
          <w:rFonts w:cs="Arial"/>
          <w:color w:val="000000"/>
          <w:sz w:val="22"/>
          <w:szCs w:val="22"/>
          <w:lang w:val="en" w:eastAsia="en-GB"/>
        </w:rPr>
      </w:pPr>
      <w:r>
        <w:rPr>
          <w:rFonts w:cs="Arial"/>
          <w:color w:val="000000"/>
          <w:sz w:val="22"/>
          <w:szCs w:val="22"/>
          <w:lang w:val="en" w:eastAsia="en-GB"/>
        </w:rPr>
        <w:t>Academic representation on the Quality Promotion Committee shall include all Faculties</w:t>
      </w:r>
      <w:r w:rsidR="004C79FF">
        <w:rPr>
          <w:rFonts w:cs="Arial"/>
          <w:color w:val="000000"/>
          <w:sz w:val="22"/>
          <w:szCs w:val="22"/>
          <w:lang w:val="en" w:eastAsia="en-GB"/>
        </w:rPr>
        <w:t xml:space="preserve"> and</w:t>
      </w:r>
      <w:r w:rsidR="005E1D9E">
        <w:rPr>
          <w:rFonts w:cs="Arial"/>
          <w:color w:val="000000"/>
          <w:sz w:val="22"/>
          <w:szCs w:val="22"/>
          <w:lang w:val="en" w:eastAsia="en-GB"/>
        </w:rPr>
        <w:t xml:space="preserve"> the DCU</w:t>
      </w:r>
      <w:r w:rsidR="004C79FF">
        <w:rPr>
          <w:rFonts w:cs="Arial"/>
          <w:color w:val="000000"/>
          <w:sz w:val="22"/>
          <w:szCs w:val="22"/>
          <w:lang w:val="en" w:eastAsia="en-GB"/>
        </w:rPr>
        <w:t xml:space="preserve"> </w:t>
      </w:r>
      <w:r w:rsidR="005E1D9E">
        <w:rPr>
          <w:rFonts w:cs="Arial"/>
          <w:color w:val="000000"/>
          <w:sz w:val="22"/>
          <w:szCs w:val="22"/>
          <w:lang w:val="en" w:eastAsia="en-GB"/>
        </w:rPr>
        <w:t>Open Education unit</w:t>
      </w:r>
      <w:r>
        <w:rPr>
          <w:rFonts w:cs="Arial"/>
          <w:color w:val="000000"/>
          <w:sz w:val="22"/>
          <w:szCs w:val="22"/>
          <w:lang w:val="en" w:eastAsia="en-GB"/>
        </w:rPr>
        <w:t xml:space="preserve">. Representation </w:t>
      </w:r>
      <w:r w:rsidR="007351B1">
        <w:rPr>
          <w:rFonts w:cs="Arial"/>
          <w:color w:val="000000"/>
          <w:sz w:val="22"/>
          <w:szCs w:val="22"/>
          <w:lang w:val="en" w:eastAsia="en-GB"/>
        </w:rPr>
        <w:t>from</w:t>
      </w:r>
      <w:r>
        <w:rPr>
          <w:rFonts w:cs="Arial"/>
          <w:color w:val="000000"/>
          <w:sz w:val="22"/>
          <w:szCs w:val="22"/>
          <w:lang w:val="en" w:eastAsia="en-GB"/>
        </w:rPr>
        <w:t xml:space="preserve"> </w:t>
      </w:r>
      <w:r w:rsidR="007351B1">
        <w:rPr>
          <w:rFonts w:cs="Arial"/>
          <w:color w:val="000000"/>
          <w:sz w:val="22"/>
          <w:szCs w:val="22"/>
          <w:lang w:val="en" w:eastAsia="en-GB"/>
        </w:rPr>
        <w:t xml:space="preserve">Support / Service </w:t>
      </w:r>
      <w:r w:rsidR="00261ED3">
        <w:rPr>
          <w:rFonts w:cs="Arial"/>
          <w:color w:val="000000"/>
          <w:sz w:val="22"/>
          <w:szCs w:val="22"/>
          <w:lang w:val="en" w:eastAsia="en-GB"/>
        </w:rPr>
        <w:t xml:space="preserve">units </w:t>
      </w:r>
      <w:r>
        <w:rPr>
          <w:rFonts w:cs="Arial"/>
          <w:color w:val="000000"/>
          <w:sz w:val="22"/>
          <w:szCs w:val="22"/>
          <w:lang w:val="en" w:eastAsia="en-GB"/>
        </w:rPr>
        <w:t xml:space="preserve">shall follow a </w:t>
      </w:r>
      <w:r w:rsidR="00297255">
        <w:rPr>
          <w:rFonts w:cs="Arial"/>
          <w:color w:val="000000"/>
          <w:sz w:val="22"/>
          <w:szCs w:val="22"/>
          <w:lang w:val="en" w:eastAsia="en-GB"/>
        </w:rPr>
        <w:t>defined rolling cycle of membership</w:t>
      </w:r>
      <w:r w:rsidR="001E27AE">
        <w:rPr>
          <w:rFonts w:cs="Arial"/>
          <w:color w:val="000000"/>
          <w:sz w:val="22"/>
          <w:szCs w:val="22"/>
          <w:lang w:val="en" w:eastAsia="en-GB"/>
        </w:rPr>
        <w:t xml:space="preserve"> (</w:t>
      </w:r>
      <w:r w:rsidR="00FB1DC5">
        <w:rPr>
          <w:rFonts w:cs="Arial"/>
          <w:color w:val="000000"/>
          <w:sz w:val="22"/>
          <w:szCs w:val="22"/>
          <w:lang w:val="en" w:eastAsia="en-GB"/>
        </w:rPr>
        <w:t>Appendix 2</w:t>
      </w:r>
      <w:r w:rsidR="001E27AE">
        <w:rPr>
          <w:rFonts w:cs="Arial"/>
          <w:color w:val="000000"/>
          <w:sz w:val="22"/>
          <w:szCs w:val="22"/>
          <w:lang w:val="en" w:eastAsia="en-GB"/>
        </w:rPr>
        <w:t>)</w:t>
      </w:r>
      <w:r>
        <w:rPr>
          <w:rFonts w:cs="Arial"/>
          <w:color w:val="000000"/>
          <w:sz w:val="22"/>
          <w:szCs w:val="22"/>
          <w:lang w:val="en" w:eastAsia="en-GB"/>
        </w:rPr>
        <w:t xml:space="preserve">. </w:t>
      </w:r>
      <w:r w:rsidR="00261ED3">
        <w:rPr>
          <w:rFonts w:cs="Arial"/>
          <w:color w:val="000000"/>
          <w:sz w:val="22"/>
          <w:szCs w:val="22"/>
          <w:lang w:val="en" w:eastAsia="en-GB"/>
        </w:rPr>
        <w:t xml:space="preserve">Units </w:t>
      </w:r>
      <w:r>
        <w:rPr>
          <w:rFonts w:cs="Arial"/>
          <w:color w:val="000000"/>
          <w:sz w:val="22"/>
          <w:szCs w:val="22"/>
          <w:lang w:val="en" w:eastAsia="en-GB"/>
        </w:rPr>
        <w:t xml:space="preserve">can decline membership in the </w:t>
      </w:r>
      <w:r w:rsidR="005E1D9E">
        <w:rPr>
          <w:rFonts w:cs="Arial"/>
          <w:color w:val="000000"/>
          <w:sz w:val="22"/>
          <w:szCs w:val="22"/>
          <w:lang w:val="en" w:eastAsia="en-GB"/>
        </w:rPr>
        <w:t>Quality Promotion Committee</w:t>
      </w:r>
      <w:r>
        <w:rPr>
          <w:rFonts w:cs="Arial"/>
          <w:color w:val="000000"/>
          <w:sz w:val="22"/>
          <w:szCs w:val="22"/>
          <w:lang w:val="en" w:eastAsia="en-GB"/>
        </w:rPr>
        <w:t xml:space="preserve"> for one term. Constituencies should mandate their representative or representatives.</w:t>
      </w:r>
    </w:p>
    <w:p w:rsidR="000757D6" w:rsidRDefault="000757D6" w:rsidP="00906084">
      <w:pPr>
        <w:numPr>
          <w:ilvl w:val="0"/>
          <w:numId w:val="1"/>
        </w:numPr>
        <w:spacing w:before="150" w:after="150"/>
        <w:textAlignment w:val="top"/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t>A quorum of one</w:t>
      </w:r>
      <w:r w:rsidR="001E27AE">
        <w:rPr>
          <w:rFonts w:cs="Arial"/>
          <w:color w:val="000000"/>
          <w:sz w:val="22"/>
          <w:szCs w:val="22"/>
          <w:lang w:val="en" w:eastAsia="en-GB"/>
        </w:rPr>
        <w:t xml:space="preserve"> </w:t>
      </w:r>
      <w:r w:rsidR="00FA1573">
        <w:rPr>
          <w:rFonts w:cs="Arial"/>
          <w:color w:val="000000"/>
          <w:sz w:val="22"/>
          <w:szCs w:val="22"/>
          <w:lang w:val="en" w:eastAsia="en-GB"/>
        </w:rPr>
        <w:t xml:space="preserve">half </w:t>
      </w: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of the membership of the Quality Promotion Committee </w:t>
      </w:r>
      <w:r w:rsidR="005E1D9E">
        <w:rPr>
          <w:rFonts w:cs="Arial"/>
          <w:color w:val="000000"/>
          <w:sz w:val="22"/>
          <w:szCs w:val="22"/>
          <w:lang w:val="en" w:eastAsia="en-GB"/>
        </w:rPr>
        <w:t xml:space="preserve">shall </w:t>
      </w:r>
      <w:r w:rsidRPr="00ED6A60">
        <w:rPr>
          <w:rFonts w:cs="Arial"/>
          <w:color w:val="000000"/>
          <w:sz w:val="22"/>
          <w:szCs w:val="22"/>
          <w:lang w:val="en" w:eastAsia="en-GB"/>
        </w:rPr>
        <w:t>appl</w:t>
      </w:r>
      <w:r w:rsidR="005E1D9E">
        <w:rPr>
          <w:rFonts w:cs="Arial"/>
          <w:color w:val="000000"/>
          <w:sz w:val="22"/>
          <w:szCs w:val="22"/>
          <w:lang w:val="en" w:eastAsia="en-GB"/>
        </w:rPr>
        <w:t>y</w:t>
      </w:r>
      <w:r w:rsidRPr="00ED6A60">
        <w:rPr>
          <w:rFonts w:cs="Arial"/>
          <w:color w:val="000000"/>
          <w:sz w:val="22"/>
          <w:szCs w:val="22"/>
          <w:lang w:val="en" w:eastAsia="en-GB"/>
        </w:rPr>
        <w:t>.</w:t>
      </w:r>
    </w:p>
    <w:p w:rsidR="00FA1573" w:rsidRPr="00ED6A60" w:rsidRDefault="00FA1573" w:rsidP="00906084">
      <w:pPr>
        <w:numPr>
          <w:ilvl w:val="0"/>
          <w:numId w:val="1"/>
        </w:numPr>
        <w:spacing w:before="150" w:after="150"/>
        <w:textAlignment w:val="top"/>
        <w:rPr>
          <w:rFonts w:cs="Arial"/>
          <w:color w:val="000000"/>
          <w:sz w:val="22"/>
          <w:szCs w:val="22"/>
          <w:lang w:val="en" w:eastAsia="en-GB"/>
        </w:rPr>
      </w:pPr>
      <w:r>
        <w:rPr>
          <w:rFonts w:cs="Arial"/>
          <w:color w:val="000000"/>
          <w:sz w:val="22"/>
          <w:szCs w:val="22"/>
          <w:lang w:val="en" w:eastAsia="en-GB"/>
        </w:rPr>
        <w:t xml:space="preserve">A review of the </w:t>
      </w:r>
      <w:r w:rsidR="005E1D9E">
        <w:rPr>
          <w:rFonts w:cs="Arial"/>
          <w:color w:val="000000"/>
          <w:sz w:val="22"/>
          <w:szCs w:val="22"/>
          <w:lang w:val="en" w:eastAsia="en-GB"/>
        </w:rPr>
        <w:t>Quality Promotion Committee</w:t>
      </w:r>
      <w:r>
        <w:rPr>
          <w:rFonts w:cs="Arial"/>
          <w:color w:val="000000"/>
          <w:sz w:val="22"/>
          <w:szCs w:val="22"/>
          <w:lang w:val="en" w:eastAsia="en-GB"/>
        </w:rPr>
        <w:t xml:space="preserve"> membership shall be conducted in the spring of every year; change-over of </w:t>
      </w:r>
      <w:r w:rsidR="005E1D9E">
        <w:rPr>
          <w:rFonts w:cs="Arial"/>
          <w:color w:val="000000"/>
          <w:sz w:val="22"/>
          <w:szCs w:val="22"/>
          <w:lang w:val="en" w:eastAsia="en-GB"/>
        </w:rPr>
        <w:t>Quality Promotion Committee</w:t>
      </w:r>
      <w:r>
        <w:rPr>
          <w:rFonts w:cs="Arial"/>
          <w:color w:val="000000"/>
          <w:sz w:val="22"/>
          <w:szCs w:val="22"/>
          <w:lang w:val="en" w:eastAsia="en-GB"/>
        </w:rPr>
        <w:t xml:space="preserve"> members, if applicable, shall take place at the start of the academic year.</w:t>
      </w:r>
    </w:p>
    <w:p w:rsidR="00F81E82" w:rsidRPr="00ED6A60" w:rsidRDefault="00F81E82" w:rsidP="00F81E82">
      <w:pPr>
        <w:numPr>
          <w:ilvl w:val="0"/>
          <w:numId w:val="1"/>
        </w:numPr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t>The Quality Promotion Committee sh</w:t>
      </w:r>
      <w:r w:rsidR="001E27AE">
        <w:rPr>
          <w:rFonts w:cs="Arial"/>
          <w:color w:val="000000"/>
          <w:sz w:val="22"/>
          <w:szCs w:val="22"/>
          <w:lang w:val="en" w:eastAsia="en-GB"/>
        </w:rPr>
        <w:t>a</w:t>
      </w:r>
      <w:r w:rsidRPr="00ED6A60">
        <w:rPr>
          <w:rFonts w:cs="Arial"/>
          <w:color w:val="000000"/>
          <w:sz w:val="22"/>
          <w:szCs w:val="22"/>
          <w:lang w:val="en" w:eastAsia="en-GB"/>
        </w:rPr>
        <w:t>l</w:t>
      </w:r>
      <w:r w:rsidR="001E27AE">
        <w:rPr>
          <w:rFonts w:cs="Arial"/>
          <w:color w:val="000000"/>
          <w:sz w:val="22"/>
          <w:szCs w:val="22"/>
          <w:lang w:val="en" w:eastAsia="en-GB"/>
        </w:rPr>
        <w:t>l</w:t>
      </w:r>
      <w:r w:rsidR="007351B1">
        <w:rPr>
          <w:rFonts w:cs="Arial"/>
          <w:color w:val="000000"/>
          <w:sz w:val="22"/>
          <w:szCs w:val="22"/>
          <w:lang w:val="en" w:eastAsia="en-GB"/>
        </w:rPr>
        <w:t>:</w:t>
      </w:r>
    </w:p>
    <w:p w:rsidR="00F81E82" w:rsidRPr="00ED6A60" w:rsidRDefault="00F81E82" w:rsidP="00F81E82">
      <w:pPr>
        <w:rPr>
          <w:rFonts w:cs="Arial"/>
          <w:color w:val="000000"/>
          <w:sz w:val="22"/>
          <w:szCs w:val="22"/>
          <w:lang w:val="en" w:eastAsia="en-GB"/>
        </w:rPr>
      </w:pPr>
    </w:p>
    <w:p w:rsidR="00F81E82" w:rsidRPr="00ED6A60" w:rsidRDefault="00F81E82" w:rsidP="00F81E82">
      <w:pPr>
        <w:numPr>
          <w:ilvl w:val="0"/>
          <w:numId w:val="4"/>
        </w:numPr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promote an ethos of self-evaluation and continuous quality improvement within the university, and seek thereby to enhance the student and staff experience </w:t>
      </w:r>
    </w:p>
    <w:p w:rsidR="00F81E82" w:rsidRPr="00ED6A60" w:rsidRDefault="00F81E82" w:rsidP="00F81E82">
      <w:pPr>
        <w:numPr>
          <w:ilvl w:val="0"/>
          <w:numId w:val="4"/>
        </w:numPr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advise and make recommendations to </w:t>
      </w:r>
      <w:r w:rsidR="005E1D9E">
        <w:rPr>
          <w:rFonts w:cs="Arial"/>
          <w:color w:val="000000"/>
          <w:sz w:val="22"/>
          <w:szCs w:val="22"/>
          <w:lang w:val="en" w:eastAsia="en-GB"/>
        </w:rPr>
        <w:t xml:space="preserve">DCU </w:t>
      </w:r>
      <w:r w:rsidR="00FE2A62" w:rsidRPr="00ED6A60">
        <w:rPr>
          <w:rFonts w:cs="Arial"/>
          <w:color w:val="000000"/>
          <w:sz w:val="22"/>
          <w:szCs w:val="22"/>
          <w:lang w:val="en" w:eastAsia="en-GB"/>
        </w:rPr>
        <w:t xml:space="preserve">Senior Management, </w:t>
      </w:r>
      <w:r w:rsidRPr="00ED6A60">
        <w:rPr>
          <w:rFonts w:cs="Arial"/>
          <w:color w:val="000000"/>
          <w:sz w:val="22"/>
          <w:szCs w:val="22"/>
          <w:lang w:val="en" w:eastAsia="en-GB"/>
        </w:rPr>
        <w:t>Executive and Academic Council on policies for quality assurance and improvement, arising from the University's responsibilities under the Universities Act (1997)</w:t>
      </w:r>
      <w:r w:rsidR="005E1D9E">
        <w:rPr>
          <w:rFonts w:cs="Arial"/>
          <w:color w:val="000000"/>
          <w:sz w:val="22"/>
          <w:szCs w:val="22"/>
          <w:lang w:val="en" w:eastAsia="en-GB"/>
        </w:rPr>
        <w:t xml:space="preserve"> and the Qualifications and Quality Assurance (Education and Training) Act 2012;</w:t>
      </w: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 from the activities of the </w:t>
      </w:r>
      <w:r w:rsidR="00A7016F">
        <w:rPr>
          <w:rFonts w:cs="Arial"/>
          <w:color w:val="000000"/>
          <w:sz w:val="22"/>
          <w:szCs w:val="22"/>
          <w:lang w:val="en" w:eastAsia="en-GB"/>
        </w:rPr>
        <w:t>Quality and Qualifications Ireland (QQI)</w:t>
      </w: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 and from the requirements of </w:t>
      </w:r>
      <w:r w:rsidR="00A7016F">
        <w:rPr>
          <w:rFonts w:cs="Arial"/>
          <w:color w:val="000000"/>
          <w:sz w:val="22"/>
          <w:szCs w:val="22"/>
          <w:lang w:val="en" w:eastAsia="en-GB"/>
        </w:rPr>
        <w:t xml:space="preserve">other </w:t>
      </w:r>
      <w:r w:rsidRPr="00ED6A60">
        <w:rPr>
          <w:rFonts w:cs="Arial"/>
          <w:color w:val="000000"/>
          <w:sz w:val="22"/>
          <w:szCs w:val="22"/>
          <w:lang w:val="en" w:eastAsia="en-GB"/>
        </w:rPr>
        <w:t>national agencies such as the Higher Education Authority, that have a remit for quality in higher education</w:t>
      </w:r>
      <w:r w:rsidR="00A7016F">
        <w:rPr>
          <w:rFonts w:cs="Arial"/>
          <w:color w:val="000000"/>
          <w:sz w:val="22"/>
          <w:szCs w:val="22"/>
          <w:lang w:val="en" w:eastAsia="en-GB"/>
        </w:rPr>
        <w:t>.</w:t>
      </w:r>
    </w:p>
    <w:p w:rsidR="00F81E82" w:rsidRPr="00ED6A60" w:rsidRDefault="00F81E82" w:rsidP="00F81E82">
      <w:pPr>
        <w:numPr>
          <w:ilvl w:val="0"/>
          <w:numId w:val="4"/>
        </w:numPr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advise </w:t>
      </w:r>
      <w:r w:rsidR="00FE2A62" w:rsidRPr="00ED6A60">
        <w:rPr>
          <w:rFonts w:cs="Arial"/>
          <w:color w:val="000000"/>
          <w:sz w:val="22"/>
          <w:szCs w:val="22"/>
          <w:lang w:val="en" w:eastAsia="en-GB"/>
        </w:rPr>
        <w:t xml:space="preserve">Senior Management, </w:t>
      </w: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Executive and Academic Council on the establishment of a framework of principles, policies, priorities, procedures and good practice for the promotion of outstanding quality in teaching, research and administration across the University </w:t>
      </w:r>
    </w:p>
    <w:p w:rsidR="00F81E82" w:rsidRPr="00ED6A60" w:rsidRDefault="00F81E82" w:rsidP="00F81E82">
      <w:pPr>
        <w:numPr>
          <w:ilvl w:val="0"/>
          <w:numId w:val="4"/>
        </w:numPr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lastRenderedPageBreak/>
        <w:t>disseminate information throughout the University on best national and international practice</w:t>
      </w:r>
      <w:r w:rsidR="001E27AE">
        <w:rPr>
          <w:rFonts w:cs="Arial"/>
          <w:color w:val="000000"/>
          <w:sz w:val="22"/>
          <w:szCs w:val="22"/>
          <w:lang w:val="en" w:eastAsia="en-GB"/>
        </w:rPr>
        <w:t xml:space="preserve"> on quality related issues</w:t>
      </w:r>
    </w:p>
    <w:p w:rsidR="00F81E82" w:rsidRPr="00ED6A60" w:rsidRDefault="00F81E82" w:rsidP="00F81E82">
      <w:pPr>
        <w:numPr>
          <w:ilvl w:val="0"/>
          <w:numId w:val="4"/>
        </w:numPr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t>administer funding from the Quality Improvement Fund and advise Executive and Academic Council on funding needs arising from quality assurance mechanisms</w:t>
      </w:r>
    </w:p>
    <w:p w:rsidR="00F81E82" w:rsidRPr="00ED6A60" w:rsidRDefault="00F81E82" w:rsidP="00F81E82">
      <w:pPr>
        <w:numPr>
          <w:ilvl w:val="0"/>
          <w:numId w:val="4"/>
        </w:numPr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review the range of quality assurance mechanisms used both at institutional level and by Schools and Units, to provide advice as appropriate and to ensure the </w:t>
      </w:r>
      <w:proofErr w:type="spellStart"/>
      <w:r w:rsidRPr="00ED6A60">
        <w:rPr>
          <w:rFonts w:cs="Arial"/>
          <w:color w:val="000000"/>
          <w:sz w:val="22"/>
          <w:szCs w:val="22"/>
          <w:lang w:val="en" w:eastAsia="en-GB"/>
        </w:rPr>
        <w:t>cross-fertilisation</w:t>
      </w:r>
      <w:proofErr w:type="spellEnd"/>
      <w:r w:rsidRPr="00ED6A60">
        <w:rPr>
          <w:rFonts w:cs="Arial"/>
          <w:color w:val="000000"/>
          <w:sz w:val="22"/>
          <w:szCs w:val="22"/>
          <w:lang w:val="en" w:eastAsia="en-GB"/>
        </w:rPr>
        <w:t xml:space="preserve"> of experience with procedures throughout the University </w:t>
      </w:r>
    </w:p>
    <w:p w:rsidR="00F81E82" w:rsidRPr="00ED6A60" w:rsidRDefault="00F81E82" w:rsidP="00F81E82">
      <w:pPr>
        <w:numPr>
          <w:ilvl w:val="0"/>
          <w:numId w:val="4"/>
        </w:numPr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t>review, and where necessary, propose revisions of these terms of reference from time to time</w:t>
      </w:r>
    </w:p>
    <w:p w:rsidR="00F81E82" w:rsidRPr="00ED6A60" w:rsidRDefault="00F81E82" w:rsidP="00F81E82">
      <w:pPr>
        <w:rPr>
          <w:rFonts w:cs="Arial"/>
          <w:color w:val="000000"/>
          <w:sz w:val="22"/>
          <w:szCs w:val="22"/>
          <w:lang w:val="en" w:eastAsia="en-GB"/>
        </w:rPr>
      </w:pPr>
    </w:p>
    <w:p w:rsidR="00F81E82" w:rsidRPr="00ED6A60" w:rsidRDefault="00F81E82" w:rsidP="00F81E82">
      <w:pPr>
        <w:numPr>
          <w:ilvl w:val="0"/>
          <w:numId w:val="1"/>
        </w:numPr>
        <w:rPr>
          <w:rFonts w:cs="Arial"/>
          <w:color w:val="000000"/>
          <w:sz w:val="22"/>
          <w:szCs w:val="22"/>
          <w:lang w:val="en" w:eastAsia="en-GB"/>
        </w:rPr>
      </w:pPr>
      <w:r w:rsidRPr="00ED6A60">
        <w:rPr>
          <w:rFonts w:cs="Arial"/>
          <w:color w:val="000000"/>
          <w:sz w:val="22"/>
          <w:szCs w:val="22"/>
          <w:lang w:val="en" w:eastAsia="en-GB"/>
        </w:rPr>
        <w:t>Minutes of the Quality Promotion Committee shall be circulated to all members of the Executive and published on the Q</w:t>
      </w:r>
      <w:r w:rsidR="00115409">
        <w:rPr>
          <w:rFonts w:cs="Arial"/>
          <w:color w:val="000000"/>
          <w:sz w:val="22"/>
          <w:szCs w:val="22"/>
          <w:lang w:val="en" w:eastAsia="en-GB"/>
        </w:rPr>
        <w:t xml:space="preserve">uality Promotion Office </w:t>
      </w:r>
      <w:r w:rsidRPr="00ED6A60">
        <w:rPr>
          <w:rFonts w:cs="Arial"/>
          <w:color w:val="000000"/>
          <w:sz w:val="22"/>
          <w:szCs w:val="22"/>
          <w:lang w:val="en" w:eastAsia="en-GB"/>
        </w:rPr>
        <w:t>website.</w:t>
      </w:r>
    </w:p>
    <w:p w:rsidR="00ED6A60" w:rsidRPr="00976E94" w:rsidRDefault="00ED6A60" w:rsidP="00ED6A60">
      <w:pPr>
        <w:rPr>
          <w:b/>
          <w:lang w:val="en"/>
        </w:rPr>
      </w:pPr>
      <w:r>
        <w:br w:type="page"/>
      </w:r>
      <w:r w:rsidRPr="00976E94">
        <w:rPr>
          <w:b/>
          <w:lang w:val="en"/>
        </w:rPr>
        <w:lastRenderedPageBreak/>
        <w:t>Appendix</w:t>
      </w:r>
      <w:r w:rsidR="004C79FF" w:rsidRPr="00976E94">
        <w:rPr>
          <w:b/>
          <w:lang w:val="en"/>
        </w:rPr>
        <w:t xml:space="preserve"> 1</w:t>
      </w:r>
      <w:r w:rsidRPr="00976E94">
        <w:rPr>
          <w:b/>
          <w:lang w:val="en"/>
        </w:rPr>
        <w:t>: Membership of Quality Promotion Committee</w:t>
      </w:r>
    </w:p>
    <w:p w:rsidR="00ED6A60" w:rsidRDefault="00ED6A60" w:rsidP="00ED6A60">
      <w:pPr>
        <w:rPr>
          <w:lang w:val="en"/>
        </w:rPr>
      </w:pPr>
    </w:p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65"/>
        <w:gridCol w:w="1134"/>
      </w:tblGrid>
      <w:tr w:rsidR="00ED6A60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6A60" w:rsidRPr="005216BF" w:rsidRDefault="00ED6A60" w:rsidP="00501C37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Officers (</w:t>
            </w:r>
            <w:r w:rsidR="00501C3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r w:rsidRPr="005216BF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A60" w:rsidRPr="005216BF" w:rsidRDefault="00501C37" w:rsidP="00ED6A60">
            <w:pPr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ED6A60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6A60" w:rsidRPr="005216BF" w:rsidRDefault="00ED6A60" w:rsidP="007307A3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Deputy President</w:t>
            </w:r>
            <w:r w:rsidR="0004226A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*</w:t>
            </w:r>
            <w:r w:rsidR="007351B1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307A3"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(Chair)</w:t>
            </w:r>
            <w:r w:rsidR="007307A3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- nominated by the President</w:t>
            </w: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A60" w:rsidRPr="005216BF" w:rsidRDefault="00ED6A60" w:rsidP="00ED6A60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ED6A60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6A60" w:rsidRPr="005216BF" w:rsidRDefault="00ED6A60" w:rsidP="00ED6A60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Director of Quality Promotion</w:t>
            </w:r>
            <w:r w:rsidR="00115409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*</w:t>
            </w: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(Secretary)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A60" w:rsidRPr="005216BF" w:rsidRDefault="00ED6A60" w:rsidP="00ED6A60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ED6A60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6A60" w:rsidRPr="005216BF" w:rsidRDefault="00297255" w:rsidP="007351B1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Representative Nominated by VP Academic Affairs/ Registrar’s Office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A60" w:rsidRPr="005216BF" w:rsidRDefault="00ED6A60" w:rsidP="00ED6A60">
            <w:pPr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D6A60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6A60" w:rsidRPr="005216BF" w:rsidRDefault="00297255" w:rsidP="00115409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Representative Nominated by VP Research and Innovation Office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A60" w:rsidRPr="005216BF" w:rsidRDefault="00ED6A60" w:rsidP="00ED6A60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297255" w:rsidRDefault="00501C37" w:rsidP="00A11C14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en-GB"/>
              </w:rPr>
              <w:t>Director,</w:t>
            </w:r>
            <w:r w:rsidR="00297255" w:rsidRPr="00297255">
              <w:rPr>
                <w:rFonts w:ascii="Verdana" w:hAnsi="Verdana"/>
                <w:bCs/>
                <w:color w:val="000000"/>
                <w:sz w:val="20"/>
                <w:szCs w:val="20"/>
                <w:lang w:eastAsia="en-GB"/>
              </w:rPr>
              <w:t xml:space="preserve"> Student Support and Development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en-GB"/>
              </w:rPr>
              <w:t xml:space="preserve"> or nominee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Default="00297255" w:rsidP="00A11C14">
            <w:pPr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297255" w:rsidP="00A11C14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Academic Staff Representatives (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  <w:r w:rsidRPr="005216BF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A11C14">
            <w:pPr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297255" w:rsidP="00A11C14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 representatives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from DCUBS (</w:t>
            </w:r>
            <w:r w:rsidRPr="005216BF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en-GB"/>
              </w:rPr>
              <w:t>Faculty of Business</w:t>
            </w: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A11C14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297255" w:rsidP="00A11C14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 representatives from the Faculty of Engineering and Computing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A11C14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297255" w:rsidP="00A11C14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 representatives from the Faculty of Humanities and Social Sciences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A11C14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297255" w:rsidP="00A11C14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 representatives from the Faculty of Science and Health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A11C14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297255" w:rsidP="00A11C14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2 </w:t>
            </w:r>
            <w:r w:rsidRPr="00CF76CE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representatives from the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F76CE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Institution of Education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A11C14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297255" w:rsidP="00A11C14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1 representative from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Open</w:t>
            </w: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Education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Unit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A11C14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297255" w:rsidP="00ED6A60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Representative of Faculty Administrative Peer Group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ED6A60">
            <w:pPr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297255" w:rsidP="00ED6A60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1 representative from </w:t>
            </w:r>
            <w:r w:rsidRPr="00521782">
              <w:rPr>
                <w:rFonts w:ascii="Verdana" w:hAnsi="Verdana"/>
                <w:bCs/>
                <w:color w:val="000000"/>
                <w:sz w:val="20"/>
                <w:szCs w:val="20"/>
                <w:lang w:eastAsia="en-GB"/>
              </w:rPr>
              <w:t>Faculty Administrative Peer Group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ED6A60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297255" w:rsidP="00501C37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 xml:space="preserve">Representatives of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 xml:space="preserve">Support / Service units </w:t>
            </w:r>
            <w:r w:rsidRPr="005216BF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 w:rsidR="00501C3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Pr="005216BF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501C37" w:rsidP="007351B1">
            <w:pPr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501C37" w:rsidP="00501C37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4</w:t>
            </w:r>
            <w:r w:rsidR="00297255"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97255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representatives from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8</w:t>
            </w:r>
            <w:r w:rsidR="00297255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units: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ED6A60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1C37" w:rsidRPr="00501C37" w:rsidRDefault="00501C37" w:rsidP="00501C37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01C3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Registry</w:t>
            </w:r>
          </w:p>
          <w:p w:rsidR="00501C37" w:rsidRPr="00501C37" w:rsidRDefault="00501C37" w:rsidP="00501C37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01C3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Human Resources</w:t>
            </w:r>
          </w:p>
          <w:p w:rsidR="00501C37" w:rsidRPr="00501C37" w:rsidRDefault="00501C37" w:rsidP="00501C37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01C3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ISS</w:t>
            </w:r>
          </w:p>
          <w:p w:rsidR="00501C37" w:rsidRPr="00501C37" w:rsidRDefault="00501C37" w:rsidP="00501C37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01C3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Estates</w:t>
            </w:r>
          </w:p>
          <w:p w:rsidR="00501C37" w:rsidRPr="00501C37" w:rsidRDefault="00501C37" w:rsidP="00501C37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01C3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Library</w:t>
            </w:r>
          </w:p>
          <w:p w:rsidR="00501C37" w:rsidRPr="00501C37" w:rsidRDefault="00501C37" w:rsidP="00501C37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01C3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Finance</w:t>
            </w:r>
          </w:p>
          <w:p w:rsidR="00501C37" w:rsidRPr="00501C37" w:rsidRDefault="00501C37" w:rsidP="00501C37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01C3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External Affairs</w:t>
            </w:r>
          </w:p>
          <w:p w:rsidR="00297255" w:rsidRDefault="00501C37" w:rsidP="00501C37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01C3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VPAA/TEU/GSO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ED6A60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501C37" w:rsidP="00501C37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Student Representatives</w:t>
            </w:r>
            <w:r w:rsidR="00297255" w:rsidRPr="005216BF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29725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="00297255" w:rsidRPr="005216BF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4B116B">
            <w:pPr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297255" w:rsidP="007351B1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Vice-President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(Welfare)*</w:t>
            </w: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(under review)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ED6A60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297255" w:rsidP="0004226A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Vic-President (Engagement and Development)- (under review)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ED6A60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297255" w:rsidRDefault="00297255" w:rsidP="00297255">
            <w:pPr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297255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Quality Promotion Office Staff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01C37" w:rsidRDefault="00501C37" w:rsidP="00ED6A60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501C37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297255" w:rsidRDefault="00297255" w:rsidP="007351B1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297255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Quality Review Co-ordinator (recording secretary)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ED6A60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Pr="005216BF" w:rsidRDefault="00297255" w:rsidP="007351B1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Quality Promotion Officer* (in attendance)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ED6A60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255" w:rsidRDefault="00297255" w:rsidP="007351B1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Research and Institutional</w:t>
            </w:r>
            <w:r w:rsidR="00501C3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216BF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Analysis Officer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255" w:rsidRPr="005216BF" w:rsidRDefault="00297255" w:rsidP="00ED6A60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255" w:rsidRPr="005216BF" w:rsidTr="00297255">
        <w:trPr>
          <w:tblCellSpacing w:w="15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297255" w:rsidRPr="005216BF" w:rsidRDefault="00297255" w:rsidP="00976E94">
            <w:pPr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 xml:space="preserve">Total </w:t>
            </w:r>
            <w:r w:rsidRPr="005216BF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membership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297255" w:rsidRPr="005216BF" w:rsidRDefault="00297255" w:rsidP="00501C37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5216BF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501C37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</w:tbl>
    <w:p w:rsidR="00ED6A60" w:rsidRDefault="00ED6A60" w:rsidP="00ED6A60">
      <w:pPr>
        <w:rPr>
          <w:lang w:val="en"/>
        </w:rPr>
      </w:pPr>
    </w:p>
    <w:p w:rsidR="00987250" w:rsidRDefault="00115409" w:rsidP="00115409">
      <w:r w:rsidRPr="00115409">
        <w:rPr>
          <w:b/>
        </w:rPr>
        <w:t>*</w:t>
      </w:r>
      <w:r w:rsidR="007307A3">
        <w:t>Ex officio</w:t>
      </w:r>
      <w:r>
        <w:t xml:space="preserve"> members of QPC</w:t>
      </w:r>
    </w:p>
    <w:p w:rsidR="00987250" w:rsidRDefault="00987250" w:rsidP="00115409"/>
    <w:p w:rsidR="00987250" w:rsidRDefault="00987250" w:rsidP="00115409">
      <w:pPr>
        <w:rPr>
          <w:b/>
        </w:rPr>
        <w:sectPr w:rsidR="00987250" w:rsidSect="00793DCE">
          <w:footerReference w:type="default" r:id="rId8"/>
          <w:pgSz w:w="11906" w:h="16838"/>
          <w:pgMar w:top="1701" w:right="1797" w:bottom="1440" w:left="1797" w:header="709" w:footer="709" w:gutter="0"/>
          <w:cols w:space="708"/>
          <w:docGrid w:linePitch="360"/>
        </w:sectPr>
      </w:pPr>
    </w:p>
    <w:p w:rsidR="004B116B" w:rsidRDefault="004C79FF" w:rsidP="00115409">
      <w:pPr>
        <w:rPr>
          <w:rFonts w:cs="Arial"/>
          <w:b/>
        </w:rPr>
      </w:pPr>
      <w:r w:rsidRPr="004C79FF">
        <w:rPr>
          <w:b/>
        </w:rPr>
        <w:lastRenderedPageBreak/>
        <w:t>Appendix 2:</w:t>
      </w:r>
      <w:r>
        <w:t xml:space="preserve"> </w:t>
      </w:r>
      <w:proofErr w:type="gramStart"/>
      <w:r w:rsidR="004B116B" w:rsidRPr="00862378">
        <w:rPr>
          <w:rFonts w:cs="Arial"/>
          <w:b/>
        </w:rPr>
        <w:t xml:space="preserve">Support </w:t>
      </w:r>
      <w:r w:rsidR="004B116B">
        <w:rPr>
          <w:rFonts w:cs="Arial"/>
          <w:b/>
        </w:rPr>
        <w:t xml:space="preserve"> /</w:t>
      </w:r>
      <w:proofErr w:type="gramEnd"/>
      <w:r w:rsidR="004B116B">
        <w:rPr>
          <w:rFonts w:cs="Arial"/>
          <w:b/>
        </w:rPr>
        <w:t xml:space="preserve"> Service </w:t>
      </w:r>
      <w:r w:rsidR="007D7CAF">
        <w:rPr>
          <w:rFonts w:cs="Arial"/>
          <w:b/>
        </w:rPr>
        <w:t>Units’</w:t>
      </w:r>
      <w:r w:rsidR="007D7CAF" w:rsidRPr="00862378">
        <w:rPr>
          <w:rFonts w:cs="Arial"/>
          <w:b/>
        </w:rPr>
        <w:t xml:space="preserve"> </w:t>
      </w:r>
      <w:proofErr w:type="spellStart"/>
      <w:r w:rsidR="004B116B" w:rsidRPr="00862378">
        <w:rPr>
          <w:rFonts w:cs="Arial"/>
          <w:b/>
        </w:rPr>
        <w:t>Rota</w:t>
      </w:r>
      <w:proofErr w:type="spellEnd"/>
      <w:r w:rsidR="004B116B">
        <w:rPr>
          <w:rFonts w:cs="Arial"/>
          <w:b/>
        </w:rPr>
        <w:t xml:space="preserve"> </w:t>
      </w:r>
    </w:p>
    <w:p w:rsidR="00987250" w:rsidRDefault="00987250" w:rsidP="00115409">
      <w:pPr>
        <w:rPr>
          <w:rFonts w:cs="Arial"/>
          <w:b/>
        </w:rPr>
      </w:pPr>
    </w:p>
    <w:p w:rsidR="004B116B" w:rsidRPr="00862378" w:rsidRDefault="004B116B" w:rsidP="004B116B">
      <w:pPr>
        <w:rPr>
          <w:rFonts w:cs="Arial"/>
        </w:rPr>
      </w:pPr>
    </w:p>
    <w:p w:rsidR="00CD291E" w:rsidRPr="00F81E82" w:rsidRDefault="007669E8">
      <w:bookmarkStart w:id="0" w:name="_GoBack"/>
      <w:r w:rsidRPr="007669E8">
        <w:rPr>
          <w:noProof/>
          <w:lang w:val="en-IE" w:eastAsia="en-IE"/>
        </w:rPr>
        <w:drawing>
          <wp:inline distT="0" distB="0" distL="0" distR="0" wp14:anchorId="40EA922D" wp14:editId="01F69108">
            <wp:extent cx="9629292" cy="1850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317" cy="186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291E" w:rsidRPr="00F81E82" w:rsidSect="007669E8">
      <w:pgSz w:w="16838" w:h="11906" w:orient="landscape"/>
      <w:pgMar w:top="993" w:right="170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1F" w:rsidRDefault="00A51C1F" w:rsidP="006A20E6">
      <w:r>
        <w:separator/>
      </w:r>
    </w:p>
  </w:endnote>
  <w:endnote w:type="continuationSeparator" w:id="0">
    <w:p w:rsidR="00A51C1F" w:rsidRDefault="00A51C1F" w:rsidP="006A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E6" w:rsidRPr="00521782" w:rsidRDefault="006A20E6">
    <w:pPr>
      <w:pStyle w:val="Footer"/>
      <w:rPr>
        <w:lang w:val="en-IE"/>
      </w:rPr>
    </w:pPr>
    <w:r>
      <w:rPr>
        <w:lang w:val="en-IE"/>
      </w:rPr>
      <w:t>Last updated</w:t>
    </w:r>
    <w:r w:rsidR="007669E8">
      <w:rPr>
        <w:lang w:val="en-IE"/>
      </w:rPr>
      <w:t>,</w:t>
    </w:r>
    <w:r>
      <w:rPr>
        <w:lang w:val="en-IE"/>
      </w:rPr>
      <w:t xml:space="preserve"> </w:t>
    </w:r>
    <w:r w:rsidR="007669E8">
      <w:rPr>
        <w:lang w:val="en-IE"/>
      </w:rPr>
      <w:t>June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1F" w:rsidRDefault="00A51C1F" w:rsidP="006A20E6">
      <w:r>
        <w:separator/>
      </w:r>
    </w:p>
  </w:footnote>
  <w:footnote w:type="continuationSeparator" w:id="0">
    <w:p w:rsidR="00A51C1F" w:rsidRDefault="00A51C1F" w:rsidP="006A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31DC"/>
    <w:multiLevelType w:val="hybridMultilevel"/>
    <w:tmpl w:val="EDEAD3E4"/>
    <w:lvl w:ilvl="0" w:tplc="1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304E2"/>
    <w:multiLevelType w:val="hybridMultilevel"/>
    <w:tmpl w:val="09C66E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15C2C"/>
    <w:multiLevelType w:val="hybridMultilevel"/>
    <w:tmpl w:val="40D8FE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2E3FF9"/>
    <w:multiLevelType w:val="hybridMultilevel"/>
    <w:tmpl w:val="DA06A8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F7052E9"/>
    <w:multiLevelType w:val="hybridMultilevel"/>
    <w:tmpl w:val="3C74BD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AA"/>
    <w:rsid w:val="000024BB"/>
    <w:rsid w:val="0004226A"/>
    <w:rsid w:val="000424D5"/>
    <w:rsid w:val="000757D6"/>
    <w:rsid w:val="00115409"/>
    <w:rsid w:val="001620F1"/>
    <w:rsid w:val="00174C43"/>
    <w:rsid w:val="001E27AE"/>
    <w:rsid w:val="00257F7C"/>
    <w:rsid w:val="00261ED3"/>
    <w:rsid w:val="002633EF"/>
    <w:rsid w:val="00274A2B"/>
    <w:rsid w:val="00297255"/>
    <w:rsid w:val="00300671"/>
    <w:rsid w:val="0035641A"/>
    <w:rsid w:val="0036436A"/>
    <w:rsid w:val="00382CF3"/>
    <w:rsid w:val="00431606"/>
    <w:rsid w:val="00451042"/>
    <w:rsid w:val="00460775"/>
    <w:rsid w:val="004B116B"/>
    <w:rsid w:val="004C79FF"/>
    <w:rsid w:val="00501C37"/>
    <w:rsid w:val="00521782"/>
    <w:rsid w:val="00551BC5"/>
    <w:rsid w:val="00580F0B"/>
    <w:rsid w:val="005E1D9E"/>
    <w:rsid w:val="006113D1"/>
    <w:rsid w:val="006424FF"/>
    <w:rsid w:val="006A20E6"/>
    <w:rsid w:val="007307A3"/>
    <w:rsid w:val="007351B1"/>
    <w:rsid w:val="007669E8"/>
    <w:rsid w:val="00793DCE"/>
    <w:rsid w:val="007D7CAF"/>
    <w:rsid w:val="007F33AA"/>
    <w:rsid w:val="00906084"/>
    <w:rsid w:val="009541BD"/>
    <w:rsid w:val="00976E94"/>
    <w:rsid w:val="00987250"/>
    <w:rsid w:val="009D0DA2"/>
    <w:rsid w:val="00A51C1F"/>
    <w:rsid w:val="00A51D22"/>
    <w:rsid w:val="00A7016F"/>
    <w:rsid w:val="00AB6E04"/>
    <w:rsid w:val="00CB0191"/>
    <w:rsid w:val="00CC547E"/>
    <w:rsid w:val="00CD291E"/>
    <w:rsid w:val="00CF76CE"/>
    <w:rsid w:val="00ED4B57"/>
    <w:rsid w:val="00ED6A60"/>
    <w:rsid w:val="00F81E82"/>
    <w:rsid w:val="00F861CF"/>
    <w:rsid w:val="00F87238"/>
    <w:rsid w:val="00FA1573"/>
    <w:rsid w:val="00FB1DC5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BE98A8-E5FE-4257-AE06-83D7C1BF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AA"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F33AA"/>
    <w:pPr>
      <w:tabs>
        <w:tab w:val="left" w:pos="360"/>
      </w:tabs>
      <w:ind w:left="360" w:hanging="360"/>
    </w:pPr>
    <w:rPr>
      <w:rFonts w:cs="Arial"/>
    </w:rPr>
  </w:style>
  <w:style w:type="paragraph" w:styleId="BalloonText">
    <w:name w:val="Balloon Text"/>
    <w:basedOn w:val="Normal"/>
    <w:semiHidden/>
    <w:rsid w:val="00FA15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4C43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20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A20E6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6A20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A20E6"/>
    <w:rPr>
      <w:rFonts w:ascii="Arial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CC50-17E8-460C-B2DF-79F14B36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for the Quality Promotion Committee</vt:lpstr>
    </vt:vector>
  </TitlesOfParts>
  <Company>DCU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for the Quality Promotion Committee</dc:title>
  <dc:creator>Heinz Lechleiter</dc:creator>
  <cp:lastModifiedBy>Aisling McKenna</cp:lastModifiedBy>
  <cp:revision>4</cp:revision>
  <cp:lastPrinted>2019-04-10T10:08:00Z</cp:lastPrinted>
  <dcterms:created xsi:type="dcterms:W3CDTF">2017-06-14T12:31:00Z</dcterms:created>
  <dcterms:modified xsi:type="dcterms:W3CDTF">2019-04-10T10:10:00Z</dcterms:modified>
</cp:coreProperties>
</file>