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0"/>
        <w:gridCol w:w="6956"/>
      </w:tblGrid>
      <w:tr w:rsidR="00D9358C" w14:paraId="462E1A05" w14:textId="77777777" w:rsidTr="0030003B">
        <w:tc>
          <w:tcPr>
            <w:tcW w:w="2093" w:type="dxa"/>
          </w:tcPr>
          <w:p w14:paraId="7C08EB32" w14:textId="2873E009" w:rsidR="00D9358C" w:rsidRDefault="00D9358C">
            <w:pPr>
              <w:rPr>
                <w:rFonts w:asciiTheme="majorHAnsi" w:eastAsia="Arial" w:hAnsiTheme="majorHAnsi" w:cs="Arial"/>
                <w:b/>
                <w:sz w:val="20"/>
                <w:szCs w:val="20"/>
              </w:rPr>
            </w:pPr>
            <w:bookmarkStart w:id="0" w:name="_GoBack"/>
            <w:bookmarkEnd w:id="0"/>
            <w:r>
              <w:rPr>
                <w:rFonts w:asciiTheme="majorHAnsi" w:eastAsia="Arial" w:hAnsiTheme="majorHAnsi" w:cs="Arial"/>
                <w:b/>
                <w:sz w:val="20"/>
                <w:szCs w:val="20"/>
              </w:rPr>
              <w:t>Document No.</w:t>
            </w:r>
          </w:p>
        </w:tc>
        <w:tc>
          <w:tcPr>
            <w:tcW w:w="7149" w:type="dxa"/>
          </w:tcPr>
          <w:p w14:paraId="7D33C589" w14:textId="00668733" w:rsidR="00D9358C" w:rsidRPr="0030003B" w:rsidRDefault="00D9358C">
            <w:pPr>
              <w:rPr>
                <w:rFonts w:asciiTheme="majorHAnsi" w:eastAsia="Arial" w:hAnsiTheme="majorHAnsi" w:cs="Arial"/>
                <w:sz w:val="20"/>
                <w:szCs w:val="20"/>
              </w:rPr>
            </w:pPr>
            <w:r w:rsidRPr="0030003B">
              <w:rPr>
                <w:rFonts w:asciiTheme="majorHAnsi" w:eastAsia="Arial" w:hAnsiTheme="majorHAnsi" w:cs="Arial"/>
                <w:sz w:val="20"/>
                <w:szCs w:val="20"/>
              </w:rPr>
              <w:t>1</w:t>
            </w:r>
          </w:p>
        </w:tc>
      </w:tr>
      <w:tr w:rsidR="00D9358C" w14:paraId="16440D32" w14:textId="77777777" w:rsidTr="0030003B">
        <w:tc>
          <w:tcPr>
            <w:tcW w:w="2093" w:type="dxa"/>
          </w:tcPr>
          <w:p w14:paraId="71A91864" w14:textId="785D5F67" w:rsidR="00D9358C" w:rsidRDefault="00D9358C">
            <w:pPr>
              <w:rPr>
                <w:rFonts w:asciiTheme="majorHAnsi" w:eastAsia="Arial" w:hAnsiTheme="majorHAnsi" w:cs="Arial"/>
                <w:b/>
                <w:sz w:val="20"/>
                <w:szCs w:val="20"/>
              </w:rPr>
            </w:pPr>
            <w:r>
              <w:rPr>
                <w:rFonts w:asciiTheme="majorHAnsi" w:eastAsia="Arial" w:hAnsiTheme="majorHAnsi" w:cs="Arial"/>
                <w:b/>
                <w:sz w:val="20"/>
                <w:szCs w:val="20"/>
              </w:rPr>
              <w:t>Version No.</w:t>
            </w:r>
          </w:p>
        </w:tc>
        <w:tc>
          <w:tcPr>
            <w:tcW w:w="7149" w:type="dxa"/>
          </w:tcPr>
          <w:p w14:paraId="7F19A7B7" w14:textId="3121F53F" w:rsidR="00D9358C" w:rsidRPr="0030003B" w:rsidRDefault="00D9358C">
            <w:pPr>
              <w:rPr>
                <w:rFonts w:asciiTheme="majorHAnsi" w:eastAsia="Arial" w:hAnsiTheme="majorHAnsi" w:cs="Arial"/>
                <w:sz w:val="20"/>
                <w:szCs w:val="20"/>
              </w:rPr>
            </w:pPr>
            <w:r w:rsidRPr="0030003B">
              <w:rPr>
                <w:rFonts w:asciiTheme="majorHAnsi" w:eastAsia="Arial" w:hAnsiTheme="majorHAnsi" w:cs="Arial"/>
                <w:sz w:val="20"/>
                <w:szCs w:val="20"/>
              </w:rPr>
              <w:t>1</w:t>
            </w:r>
          </w:p>
        </w:tc>
      </w:tr>
      <w:tr w:rsidR="00D9358C" w14:paraId="51C9F785" w14:textId="77777777" w:rsidTr="0030003B">
        <w:tc>
          <w:tcPr>
            <w:tcW w:w="2093" w:type="dxa"/>
          </w:tcPr>
          <w:p w14:paraId="4BBAF86D" w14:textId="7ECA394A" w:rsidR="00D9358C" w:rsidRDefault="00D9358C">
            <w:pPr>
              <w:rPr>
                <w:rFonts w:asciiTheme="majorHAnsi" w:eastAsia="Arial" w:hAnsiTheme="majorHAnsi" w:cs="Arial"/>
                <w:b/>
                <w:sz w:val="20"/>
                <w:szCs w:val="20"/>
              </w:rPr>
            </w:pPr>
            <w:r>
              <w:rPr>
                <w:rFonts w:asciiTheme="majorHAnsi" w:eastAsia="Arial" w:hAnsiTheme="majorHAnsi" w:cs="Arial"/>
                <w:b/>
                <w:sz w:val="20"/>
                <w:szCs w:val="20"/>
              </w:rPr>
              <w:t>Prepared by:</w:t>
            </w:r>
          </w:p>
        </w:tc>
        <w:tc>
          <w:tcPr>
            <w:tcW w:w="7149" w:type="dxa"/>
          </w:tcPr>
          <w:p w14:paraId="5ED94F74" w14:textId="3C245EB3" w:rsidR="00D9358C" w:rsidRPr="0030003B" w:rsidRDefault="00D9358C">
            <w:pPr>
              <w:rPr>
                <w:rFonts w:asciiTheme="majorHAnsi" w:eastAsia="Arial" w:hAnsiTheme="majorHAnsi" w:cs="Arial"/>
                <w:sz w:val="20"/>
                <w:szCs w:val="20"/>
              </w:rPr>
            </w:pPr>
            <w:r w:rsidRPr="0030003B">
              <w:rPr>
                <w:rFonts w:asciiTheme="majorHAnsi" w:eastAsia="Arial" w:hAnsiTheme="majorHAnsi" w:cs="Arial"/>
                <w:sz w:val="20"/>
                <w:szCs w:val="20"/>
              </w:rPr>
              <w:t xml:space="preserve">SON, RD, MB, </w:t>
            </w:r>
            <w:r w:rsidR="00733E74">
              <w:rPr>
                <w:rFonts w:asciiTheme="majorHAnsi" w:eastAsia="Arial" w:hAnsiTheme="majorHAnsi" w:cs="Arial"/>
                <w:sz w:val="20"/>
                <w:szCs w:val="20"/>
              </w:rPr>
              <w:t xml:space="preserve">PK, GL, </w:t>
            </w:r>
            <w:r w:rsidRPr="0030003B">
              <w:rPr>
                <w:rFonts w:asciiTheme="majorHAnsi" w:eastAsia="Arial" w:hAnsiTheme="majorHAnsi" w:cs="Arial"/>
                <w:sz w:val="20"/>
                <w:szCs w:val="20"/>
              </w:rPr>
              <w:t>APMcD</w:t>
            </w:r>
          </w:p>
        </w:tc>
      </w:tr>
      <w:tr w:rsidR="00D9358C" w14:paraId="66AFB59E" w14:textId="77777777" w:rsidTr="0030003B">
        <w:tc>
          <w:tcPr>
            <w:tcW w:w="2093" w:type="dxa"/>
          </w:tcPr>
          <w:p w14:paraId="4C29961D" w14:textId="6E685D37" w:rsidR="00D9358C" w:rsidRDefault="00D9358C">
            <w:pPr>
              <w:rPr>
                <w:rFonts w:asciiTheme="majorHAnsi" w:eastAsia="Arial" w:hAnsiTheme="majorHAnsi" w:cs="Arial"/>
                <w:b/>
                <w:sz w:val="20"/>
                <w:szCs w:val="20"/>
              </w:rPr>
            </w:pPr>
            <w:r>
              <w:rPr>
                <w:rFonts w:asciiTheme="majorHAnsi" w:eastAsia="Arial" w:hAnsiTheme="majorHAnsi" w:cs="Arial"/>
                <w:b/>
                <w:sz w:val="20"/>
                <w:szCs w:val="20"/>
              </w:rPr>
              <w:t>Approved by:</w:t>
            </w:r>
          </w:p>
        </w:tc>
        <w:tc>
          <w:tcPr>
            <w:tcW w:w="7149" w:type="dxa"/>
          </w:tcPr>
          <w:p w14:paraId="7270A67B" w14:textId="555C22D2" w:rsidR="00D9358C" w:rsidRPr="0030003B" w:rsidRDefault="00D9358C">
            <w:pPr>
              <w:rPr>
                <w:rFonts w:asciiTheme="majorHAnsi" w:eastAsia="Arial" w:hAnsiTheme="majorHAnsi" w:cs="Arial"/>
                <w:sz w:val="20"/>
                <w:szCs w:val="20"/>
              </w:rPr>
            </w:pPr>
            <w:r>
              <w:rPr>
                <w:rFonts w:asciiTheme="majorHAnsi" w:eastAsia="Arial" w:hAnsiTheme="majorHAnsi" w:cs="Arial"/>
                <w:sz w:val="20"/>
                <w:szCs w:val="20"/>
              </w:rPr>
              <w:t xml:space="preserve">Biological Safety Committee </w:t>
            </w:r>
            <w:r w:rsidR="00CC615B">
              <w:rPr>
                <w:rFonts w:asciiTheme="majorHAnsi" w:eastAsia="Arial" w:hAnsiTheme="majorHAnsi" w:cs="Arial"/>
                <w:sz w:val="20"/>
                <w:szCs w:val="20"/>
              </w:rPr>
              <w:t>4</w:t>
            </w:r>
            <w:r w:rsidR="00CC615B" w:rsidRPr="00CC615B">
              <w:rPr>
                <w:rFonts w:asciiTheme="majorHAnsi" w:eastAsia="Arial" w:hAnsiTheme="majorHAnsi" w:cs="Arial"/>
                <w:sz w:val="20"/>
                <w:szCs w:val="20"/>
                <w:vertAlign w:val="superscript"/>
              </w:rPr>
              <w:t>th</w:t>
            </w:r>
            <w:r w:rsidR="00CC615B">
              <w:rPr>
                <w:rFonts w:asciiTheme="majorHAnsi" w:eastAsia="Arial" w:hAnsiTheme="majorHAnsi" w:cs="Arial"/>
                <w:sz w:val="20"/>
                <w:szCs w:val="20"/>
              </w:rPr>
              <w:t xml:space="preserve"> November 2019</w:t>
            </w:r>
          </w:p>
        </w:tc>
      </w:tr>
      <w:tr w:rsidR="00D9358C" w14:paraId="5D93E487" w14:textId="77777777" w:rsidTr="0030003B">
        <w:tc>
          <w:tcPr>
            <w:tcW w:w="2093" w:type="dxa"/>
          </w:tcPr>
          <w:p w14:paraId="76EC41A6" w14:textId="34CCE76A" w:rsidR="00D9358C" w:rsidRDefault="00D9358C">
            <w:pPr>
              <w:rPr>
                <w:rFonts w:asciiTheme="majorHAnsi" w:eastAsia="Arial" w:hAnsiTheme="majorHAnsi" w:cs="Arial"/>
                <w:b/>
                <w:sz w:val="20"/>
                <w:szCs w:val="20"/>
              </w:rPr>
            </w:pPr>
            <w:r>
              <w:rPr>
                <w:rFonts w:asciiTheme="majorHAnsi" w:eastAsia="Arial" w:hAnsiTheme="majorHAnsi" w:cs="Arial"/>
                <w:b/>
                <w:sz w:val="20"/>
                <w:szCs w:val="20"/>
              </w:rPr>
              <w:t>Effective Date:</w:t>
            </w:r>
          </w:p>
        </w:tc>
        <w:tc>
          <w:tcPr>
            <w:tcW w:w="7149" w:type="dxa"/>
          </w:tcPr>
          <w:p w14:paraId="609F6288" w14:textId="4AB0C35B" w:rsidR="00D9358C" w:rsidRPr="0030003B" w:rsidRDefault="00D9358C">
            <w:pPr>
              <w:rPr>
                <w:rFonts w:asciiTheme="majorHAnsi" w:eastAsia="Arial" w:hAnsiTheme="majorHAnsi" w:cs="Arial"/>
                <w:sz w:val="20"/>
                <w:szCs w:val="20"/>
              </w:rPr>
            </w:pPr>
            <w:r w:rsidRPr="0030003B">
              <w:rPr>
                <w:rFonts w:asciiTheme="majorHAnsi" w:eastAsia="Arial" w:hAnsiTheme="majorHAnsi" w:cs="Arial"/>
                <w:sz w:val="20"/>
                <w:szCs w:val="20"/>
              </w:rPr>
              <w:t>1</w:t>
            </w:r>
            <w:r w:rsidRPr="0030003B">
              <w:rPr>
                <w:rFonts w:asciiTheme="majorHAnsi" w:eastAsia="Arial" w:hAnsiTheme="majorHAnsi" w:cs="Arial"/>
                <w:sz w:val="20"/>
                <w:szCs w:val="20"/>
                <w:vertAlign w:val="superscript"/>
              </w:rPr>
              <w:t>st</w:t>
            </w:r>
            <w:r w:rsidRPr="0030003B">
              <w:rPr>
                <w:rFonts w:asciiTheme="majorHAnsi" w:eastAsia="Arial" w:hAnsiTheme="majorHAnsi" w:cs="Arial"/>
                <w:sz w:val="20"/>
                <w:szCs w:val="20"/>
              </w:rPr>
              <w:t xml:space="preserve"> January 2020</w:t>
            </w:r>
            <w:r w:rsidR="00733E74">
              <w:rPr>
                <w:rFonts w:asciiTheme="majorHAnsi" w:eastAsia="Arial" w:hAnsiTheme="majorHAnsi" w:cs="Arial"/>
                <w:sz w:val="20"/>
                <w:szCs w:val="20"/>
              </w:rPr>
              <w:t xml:space="preserve"> </w:t>
            </w:r>
          </w:p>
        </w:tc>
      </w:tr>
      <w:tr w:rsidR="00D9358C" w14:paraId="12E8B44D" w14:textId="77777777" w:rsidTr="0030003B">
        <w:tc>
          <w:tcPr>
            <w:tcW w:w="2093" w:type="dxa"/>
          </w:tcPr>
          <w:p w14:paraId="7DD74ED4" w14:textId="0721ED41" w:rsidR="00D9358C" w:rsidRDefault="00D9358C">
            <w:pPr>
              <w:rPr>
                <w:rFonts w:asciiTheme="majorHAnsi" w:eastAsia="Arial" w:hAnsiTheme="majorHAnsi" w:cs="Arial"/>
                <w:b/>
                <w:sz w:val="20"/>
                <w:szCs w:val="20"/>
              </w:rPr>
            </w:pPr>
            <w:r>
              <w:rPr>
                <w:rFonts w:asciiTheme="majorHAnsi" w:eastAsia="Arial" w:hAnsiTheme="majorHAnsi" w:cs="Arial"/>
                <w:b/>
                <w:sz w:val="20"/>
                <w:szCs w:val="20"/>
              </w:rPr>
              <w:t>Review by:</w:t>
            </w:r>
          </w:p>
        </w:tc>
        <w:tc>
          <w:tcPr>
            <w:tcW w:w="7149" w:type="dxa"/>
          </w:tcPr>
          <w:p w14:paraId="47F81274" w14:textId="429603A0" w:rsidR="00D9358C" w:rsidRPr="0030003B" w:rsidRDefault="00D9358C">
            <w:pPr>
              <w:rPr>
                <w:rFonts w:asciiTheme="majorHAnsi" w:eastAsia="Arial" w:hAnsiTheme="majorHAnsi" w:cs="Arial"/>
                <w:sz w:val="20"/>
                <w:szCs w:val="20"/>
              </w:rPr>
            </w:pPr>
            <w:r w:rsidRPr="0030003B">
              <w:rPr>
                <w:rFonts w:asciiTheme="majorHAnsi" w:eastAsia="Arial" w:hAnsiTheme="majorHAnsi" w:cs="Arial"/>
                <w:sz w:val="20"/>
                <w:szCs w:val="20"/>
              </w:rPr>
              <w:t>1</w:t>
            </w:r>
            <w:r w:rsidRPr="0030003B">
              <w:rPr>
                <w:rFonts w:asciiTheme="majorHAnsi" w:eastAsia="Arial" w:hAnsiTheme="majorHAnsi" w:cs="Arial"/>
                <w:sz w:val="20"/>
                <w:szCs w:val="20"/>
                <w:vertAlign w:val="superscript"/>
              </w:rPr>
              <w:t>st</w:t>
            </w:r>
            <w:r w:rsidRPr="0030003B">
              <w:rPr>
                <w:rFonts w:asciiTheme="majorHAnsi" w:eastAsia="Arial" w:hAnsiTheme="majorHAnsi" w:cs="Arial"/>
                <w:sz w:val="20"/>
                <w:szCs w:val="20"/>
              </w:rPr>
              <w:t xml:space="preserve"> January 2021</w:t>
            </w:r>
          </w:p>
        </w:tc>
      </w:tr>
    </w:tbl>
    <w:p w14:paraId="1C21D4D6" w14:textId="77777777" w:rsidR="004A6CE0" w:rsidRDefault="004A6CE0" w:rsidP="00485D6C">
      <w:pPr>
        <w:spacing w:after="0" w:line="240" w:lineRule="auto"/>
        <w:jc w:val="center"/>
        <w:rPr>
          <w:rFonts w:asciiTheme="majorHAnsi" w:eastAsia="Arial" w:hAnsiTheme="majorHAnsi" w:cs="Arial"/>
          <w:b/>
          <w:sz w:val="20"/>
          <w:szCs w:val="20"/>
        </w:rPr>
      </w:pPr>
    </w:p>
    <w:p w14:paraId="1380A624" w14:textId="77777777" w:rsidR="006978B7" w:rsidRDefault="006978B7" w:rsidP="00485D6C">
      <w:pPr>
        <w:spacing w:after="0" w:line="240" w:lineRule="auto"/>
        <w:jc w:val="center"/>
        <w:rPr>
          <w:rFonts w:asciiTheme="majorHAnsi" w:eastAsia="Arial" w:hAnsiTheme="majorHAnsi" w:cs="Arial"/>
          <w:b/>
          <w:sz w:val="28"/>
          <w:szCs w:val="28"/>
        </w:rPr>
      </w:pPr>
    </w:p>
    <w:p w14:paraId="48293617" w14:textId="255D61C6" w:rsidR="00E43C93" w:rsidRPr="0030003B" w:rsidRDefault="004A6CE0" w:rsidP="00485D6C">
      <w:pPr>
        <w:spacing w:after="0" w:line="240" w:lineRule="auto"/>
        <w:jc w:val="center"/>
        <w:rPr>
          <w:rFonts w:asciiTheme="majorHAnsi" w:eastAsia="Arial" w:hAnsiTheme="majorHAnsi" w:cs="Arial"/>
          <w:b/>
          <w:sz w:val="28"/>
          <w:szCs w:val="28"/>
        </w:rPr>
      </w:pPr>
      <w:r w:rsidRPr="0030003B">
        <w:rPr>
          <w:rFonts w:asciiTheme="majorHAnsi" w:eastAsia="Arial" w:hAnsiTheme="majorHAnsi" w:cs="Arial"/>
          <w:b/>
          <w:sz w:val="28"/>
          <w:szCs w:val="28"/>
        </w:rPr>
        <w:t>S</w:t>
      </w:r>
      <w:r w:rsidR="001C51B4" w:rsidRPr="0030003B">
        <w:rPr>
          <w:rFonts w:asciiTheme="majorHAnsi" w:eastAsia="Arial" w:hAnsiTheme="majorHAnsi" w:cs="Arial"/>
          <w:b/>
          <w:sz w:val="28"/>
          <w:szCs w:val="28"/>
        </w:rPr>
        <w:t xml:space="preserve">afety </w:t>
      </w:r>
      <w:r w:rsidRPr="0030003B">
        <w:rPr>
          <w:rFonts w:asciiTheme="majorHAnsi" w:eastAsia="Arial" w:hAnsiTheme="majorHAnsi" w:cs="Arial"/>
          <w:b/>
          <w:sz w:val="28"/>
          <w:szCs w:val="28"/>
        </w:rPr>
        <w:t xml:space="preserve">and security </w:t>
      </w:r>
      <w:r w:rsidR="001C51B4" w:rsidRPr="0030003B">
        <w:rPr>
          <w:rFonts w:asciiTheme="majorHAnsi" w:eastAsia="Arial" w:hAnsiTheme="majorHAnsi" w:cs="Arial"/>
          <w:b/>
          <w:sz w:val="28"/>
          <w:szCs w:val="28"/>
        </w:rPr>
        <w:t xml:space="preserve">guidelines for working with </w:t>
      </w:r>
      <w:r w:rsidRPr="0030003B">
        <w:rPr>
          <w:rFonts w:asciiTheme="majorHAnsi" w:eastAsia="Arial" w:hAnsiTheme="majorHAnsi" w:cs="Arial"/>
          <w:b/>
          <w:sz w:val="28"/>
          <w:szCs w:val="28"/>
        </w:rPr>
        <w:t xml:space="preserve">biological </w:t>
      </w:r>
      <w:r w:rsidR="001C51B4" w:rsidRPr="0030003B">
        <w:rPr>
          <w:rFonts w:asciiTheme="majorHAnsi" w:eastAsia="Arial" w:hAnsiTheme="majorHAnsi" w:cs="Arial"/>
          <w:b/>
          <w:sz w:val="28"/>
          <w:szCs w:val="28"/>
        </w:rPr>
        <w:t>toxin</w:t>
      </w:r>
      <w:r w:rsidR="00D84D26" w:rsidRPr="0030003B">
        <w:rPr>
          <w:rFonts w:asciiTheme="majorHAnsi" w:eastAsia="Arial" w:hAnsiTheme="majorHAnsi" w:cs="Arial"/>
          <w:b/>
          <w:sz w:val="28"/>
          <w:szCs w:val="28"/>
        </w:rPr>
        <w:t>s</w:t>
      </w:r>
    </w:p>
    <w:p w14:paraId="700CFD86" w14:textId="77777777" w:rsidR="00E43C93" w:rsidRPr="00192B8D" w:rsidRDefault="00E43C93">
      <w:pPr>
        <w:spacing w:after="0" w:line="240" w:lineRule="auto"/>
        <w:jc w:val="both"/>
        <w:rPr>
          <w:rFonts w:asciiTheme="majorHAnsi" w:eastAsia="Arial" w:hAnsiTheme="majorHAnsi" w:cs="Arial"/>
          <w:sz w:val="20"/>
          <w:szCs w:val="20"/>
        </w:rPr>
      </w:pPr>
    </w:p>
    <w:p w14:paraId="3D66F078" w14:textId="07C262A8" w:rsidR="00E43C93" w:rsidRDefault="001C51B4">
      <w:p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b/>
          <w:color w:val="000000"/>
          <w:sz w:val="24"/>
          <w:szCs w:val="24"/>
        </w:rPr>
        <w:t>Background</w:t>
      </w:r>
      <w:r w:rsidRPr="0030003B">
        <w:rPr>
          <w:rFonts w:asciiTheme="majorHAnsi" w:eastAsia="Arial" w:hAnsiTheme="majorHAnsi" w:cs="Arial"/>
          <w:color w:val="000000"/>
          <w:sz w:val="24"/>
          <w:szCs w:val="24"/>
        </w:rPr>
        <w:t xml:space="preserve">: Biological toxins are hazardous substances produced by microorganisms, animals, insects, </w:t>
      </w:r>
      <w:r w:rsidR="004A6CE0" w:rsidRPr="0030003B">
        <w:rPr>
          <w:rFonts w:asciiTheme="majorHAnsi" w:eastAsia="Arial" w:hAnsiTheme="majorHAnsi" w:cs="Arial"/>
          <w:color w:val="000000"/>
          <w:sz w:val="24"/>
          <w:szCs w:val="24"/>
        </w:rPr>
        <w:t xml:space="preserve">fungi </w:t>
      </w:r>
      <w:r w:rsidRPr="0030003B">
        <w:rPr>
          <w:rFonts w:asciiTheme="majorHAnsi" w:eastAsia="Arial" w:hAnsiTheme="majorHAnsi" w:cs="Arial"/>
          <w:color w:val="000000"/>
          <w:sz w:val="24"/>
          <w:szCs w:val="24"/>
        </w:rPr>
        <w:t>and plants that can be harmful when inhaled, ingested, injected or absorbed. This document applies to the use of biological toxins (either native or synthetically</w:t>
      </w:r>
      <w:r w:rsidR="00D9358C">
        <w:rPr>
          <w:rFonts w:asciiTheme="majorHAnsi" w:eastAsia="Arial" w:hAnsiTheme="majorHAnsi" w:cs="Arial"/>
          <w:color w:val="000000"/>
          <w:sz w:val="24"/>
          <w:szCs w:val="24"/>
        </w:rPr>
        <w:t xml:space="preserve"> </w:t>
      </w:r>
      <w:r w:rsidRPr="0030003B">
        <w:rPr>
          <w:rFonts w:asciiTheme="majorHAnsi" w:eastAsia="Arial" w:hAnsiTheme="majorHAnsi" w:cs="Arial"/>
          <w:color w:val="000000"/>
          <w:sz w:val="24"/>
          <w:szCs w:val="24"/>
        </w:rPr>
        <w:t xml:space="preserve">/recombinantly produced) that present a life-threatening or severe irreversible health risk in an incident of a single exposure. This document provides guidance for researchers in </w:t>
      </w:r>
      <w:r w:rsidR="00D9358C">
        <w:rPr>
          <w:rFonts w:asciiTheme="majorHAnsi" w:eastAsia="Arial" w:hAnsiTheme="majorHAnsi" w:cs="Arial"/>
          <w:color w:val="000000"/>
          <w:sz w:val="24"/>
          <w:szCs w:val="24"/>
        </w:rPr>
        <w:t xml:space="preserve">Dublin City University </w:t>
      </w:r>
      <w:r w:rsidRPr="0030003B">
        <w:rPr>
          <w:rFonts w:asciiTheme="majorHAnsi" w:eastAsia="Arial" w:hAnsiTheme="majorHAnsi" w:cs="Arial"/>
          <w:color w:val="000000"/>
          <w:sz w:val="24"/>
          <w:szCs w:val="24"/>
        </w:rPr>
        <w:t xml:space="preserve">and stipulates that research activities involving toxins be subject to review and approval by the Biological Safety Committee (BSC). A list of these toxins covered by this document is summarised in Table 1 and this list is subject to updating if deemed necessary by the Biological Safety </w:t>
      </w:r>
      <w:r w:rsidR="00E13C6A" w:rsidRPr="0030003B">
        <w:rPr>
          <w:rFonts w:asciiTheme="majorHAnsi" w:eastAsia="Arial" w:hAnsiTheme="majorHAnsi" w:cs="Arial"/>
          <w:color w:val="000000"/>
          <w:sz w:val="24"/>
          <w:szCs w:val="24"/>
        </w:rPr>
        <w:t xml:space="preserve">Advisor </w:t>
      </w:r>
      <w:r w:rsidRPr="0030003B">
        <w:rPr>
          <w:rFonts w:asciiTheme="majorHAnsi" w:eastAsia="Arial" w:hAnsiTheme="majorHAnsi" w:cs="Arial"/>
          <w:color w:val="000000"/>
          <w:sz w:val="24"/>
          <w:szCs w:val="24"/>
        </w:rPr>
        <w:t>(BS</w:t>
      </w:r>
      <w:r w:rsidR="00E13C6A"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The risk of laboratory exposure is primarily from accidental injection, absorption through skin or mucous membranes, inhalation, and ingestion. </w:t>
      </w:r>
      <w:r w:rsidR="00D9358C">
        <w:rPr>
          <w:rFonts w:asciiTheme="majorHAnsi" w:eastAsia="Arial" w:hAnsiTheme="majorHAnsi" w:cs="Arial"/>
          <w:color w:val="000000"/>
          <w:sz w:val="24"/>
          <w:szCs w:val="24"/>
        </w:rPr>
        <w:t>S</w:t>
      </w:r>
      <w:r w:rsidRPr="0030003B">
        <w:rPr>
          <w:rFonts w:asciiTheme="majorHAnsi" w:eastAsia="Arial" w:hAnsiTheme="majorHAnsi" w:cs="Arial"/>
          <w:color w:val="000000"/>
          <w:sz w:val="24"/>
          <w:szCs w:val="24"/>
        </w:rPr>
        <w:t>ome toxins are also on a list of biological agents and toxins for “dual use research” because of the potential risk for the benevolent or harmful use of these toxins and therefore additional controls may be implemented if deemed necessary</w:t>
      </w:r>
      <w:r w:rsidRPr="0030003B">
        <w:rPr>
          <w:rFonts w:asciiTheme="majorHAnsi" w:eastAsia="Arial" w:hAnsiTheme="majorHAnsi" w:cs="Arial"/>
          <w:color w:val="000000"/>
          <w:sz w:val="24"/>
          <w:szCs w:val="24"/>
          <w:vertAlign w:val="superscript"/>
        </w:rPr>
        <w:t>1</w:t>
      </w:r>
      <w:r w:rsidRPr="0030003B">
        <w:rPr>
          <w:rFonts w:asciiTheme="majorHAnsi" w:eastAsia="Arial" w:hAnsiTheme="majorHAnsi" w:cs="Arial"/>
          <w:color w:val="000000"/>
          <w:sz w:val="24"/>
          <w:szCs w:val="24"/>
        </w:rPr>
        <w:t xml:space="preserve">. In </w:t>
      </w:r>
      <w:r w:rsidR="004A6CE0" w:rsidRPr="0030003B">
        <w:rPr>
          <w:rFonts w:asciiTheme="majorHAnsi" w:eastAsia="Arial" w:hAnsiTheme="majorHAnsi" w:cs="Arial"/>
          <w:color w:val="000000"/>
          <w:sz w:val="24"/>
          <w:szCs w:val="24"/>
        </w:rPr>
        <w:t>Ireland dual use research is subject to EU Regulation 2018/1922 which implements recommendations of the Australia Group of nations on import / export controls in relation to the Chemicals Weapons Convention and the Biological Agents and Toxin Weapons Convention</w:t>
      </w:r>
      <w:r w:rsidR="00D9358C" w:rsidRPr="0030003B">
        <w:rPr>
          <w:rFonts w:asciiTheme="majorHAnsi" w:eastAsia="Arial" w:hAnsiTheme="majorHAnsi" w:cs="Arial"/>
          <w:color w:val="000000"/>
          <w:sz w:val="24"/>
          <w:szCs w:val="24"/>
          <w:vertAlign w:val="superscript"/>
        </w:rPr>
        <w:t>2</w:t>
      </w:r>
      <w:r w:rsidR="004A6CE0" w:rsidRPr="0030003B">
        <w:rPr>
          <w:rFonts w:asciiTheme="majorHAnsi" w:eastAsia="Arial" w:hAnsiTheme="majorHAnsi" w:cs="Arial"/>
          <w:color w:val="000000"/>
          <w:sz w:val="24"/>
          <w:szCs w:val="24"/>
        </w:rPr>
        <w:t xml:space="preserve">. The UK and USA have </w:t>
      </w:r>
      <w:r w:rsidR="008164DA" w:rsidRPr="0030003B">
        <w:rPr>
          <w:rFonts w:asciiTheme="majorHAnsi" w:eastAsia="Arial" w:hAnsiTheme="majorHAnsi" w:cs="Arial"/>
          <w:color w:val="000000"/>
          <w:sz w:val="24"/>
          <w:szCs w:val="24"/>
        </w:rPr>
        <w:t xml:space="preserve">additionally </w:t>
      </w:r>
      <w:r w:rsidR="004A6CE0" w:rsidRPr="0030003B">
        <w:rPr>
          <w:rFonts w:asciiTheme="majorHAnsi" w:eastAsia="Arial" w:hAnsiTheme="majorHAnsi" w:cs="Arial"/>
          <w:color w:val="000000"/>
          <w:sz w:val="24"/>
          <w:szCs w:val="24"/>
        </w:rPr>
        <w:t>developed stringent controls on the use and storage of certain specified biological agents and toxins, which are termed ‘Select Agents’, under their own national security and anti-terrorism regulations. Current Select Agent Toxins are highlighted in bold in Table 1; note that not all of the highlighted toxins are considered Select Agents in both jurisdictions.</w:t>
      </w:r>
      <w:r w:rsidRPr="0030003B">
        <w:rPr>
          <w:rFonts w:asciiTheme="majorHAnsi" w:eastAsia="Arial" w:hAnsiTheme="majorHAnsi" w:cs="Arial"/>
          <w:color w:val="000000"/>
          <w:sz w:val="24"/>
          <w:szCs w:val="24"/>
        </w:rPr>
        <w:t xml:space="preserve"> DCU will adopt best practices internationally. In the UK the National Counter Terrorism Security Office (NaCTSO) carries out inspections and audits on sites registered to work with </w:t>
      </w:r>
      <w:r w:rsidR="004A6CE0" w:rsidRPr="0030003B">
        <w:rPr>
          <w:rFonts w:asciiTheme="majorHAnsi" w:eastAsia="Arial" w:hAnsiTheme="majorHAnsi" w:cs="Arial"/>
          <w:color w:val="000000"/>
          <w:sz w:val="24"/>
          <w:szCs w:val="24"/>
        </w:rPr>
        <w:t>Select Agents</w:t>
      </w:r>
      <w:r w:rsidRPr="0030003B">
        <w:rPr>
          <w:rFonts w:asciiTheme="majorHAnsi" w:eastAsia="Arial" w:hAnsiTheme="majorHAnsi" w:cs="Arial"/>
          <w:color w:val="000000"/>
          <w:sz w:val="24"/>
          <w:szCs w:val="24"/>
        </w:rPr>
        <w:t xml:space="preserve"> under the Anti-Terrorism, Crime and Security Act 2001. Their security requirements expect a full inventory of stocks to be held and that all movement of </w:t>
      </w:r>
      <w:r w:rsidR="004A6CE0" w:rsidRPr="0030003B">
        <w:rPr>
          <w:rFonts w:asciiTheme="majorHAnsi" w:eastAsia="Arial" w:hAnsiTheme="majorHAnsi" w:cs="Arial"/>
          <w:color w:val="000000"/>
          <w:sz w:val="24"/>
          <w:szCs w:val="24"/>
        </w:rPr>
        <w:t xml:space="preserve">Select Agents </w:t>
      </w:r>
      <w:r w:rsidRPr="0030003B">
        <w:rPr>
          <w:rFonts w:asciiTheme="majorHAnsi" w:eastAsia="Arial" w:hAnsiTheme="majorHAnsi" w:cs="Arial"/>
          <w:color w:val="000000"/>
          <w:sz w:val="24"/>
          <w:szCs w:val="24"/>
        </w:rPr>
        <w:t>is tracked and recorded. Their expectation is for a site to carry out an annual audit, which they then review. NaCTSO do not give permission for sites to continue working with material until they can be assured that all samples are accounted for and recorded</w:t>
      </w:r>
      <w:r w:rsidR="00D9358C">
        <w:rPr>
          <w:rFonts w:asciiTheme="majorHAnsi" w:eastAsia="Arial" w:hAnsiTheme="majorHAnsi" w:cs="Arial"/>
          <w:color w:val="000000"/>
          <w:sz w:val="24"/>
          <w:szCs w:val="24"/>
          <w:vertAlign w:val="superscript"/>
        </w:rPr>
        <w:t>3</w:t>
      </w:r>
      <w:r w:rsidRPr="0030003B">
        <w:rPr>
          <w:rFonts w:asciiTheme="majorHAnsi" w:eastAsia="Arial" w:hAnsiTheme="majorHAnsi" w:cs="Arial"/>
          <w:color w:val="000000"/>
          <w:sz w:val="24"/>
          <w:szCs w:val="24"/>
        </w:rPr>
        <w:t>.</w:t>
      </w:r>
      <w:r w:rsidR="009F12F2" w:rsidRPr="0030003B">
        <w:rPr>
          <w:rFonts w:asciiTheme="majorHAnsi" w:eastAsia="Arial" w:hAnsiTheme="majorHAnsi" w:cs="Arial"/>
          <w:color w:val="000000"/>
          <w:sz w:val="24"/>
          <w:szCs w:val="24"/>
        </w:rPr>
        <w:t xml:space="preserve"> </w:t>
      </w:r>
      <w:r w:rsidRPr="0030003B">
        <w:rPr>
          <w:rFonts w:asciiTheme="majorHAnsi" w:eastAsia="Arial" w:hAnsiTheme="majorHAnsi" w:cs="Arial"/>
          <w:color w:val="000000"/>
          <w:sz w:val="24"/>
          <w:szCs w:val="24"/>
        </w:rPr>
        <w:t>In the USA</w:t>
      </w:r>
      <w:r w:rsidR="004A6CE0" w:rsidRPr="0030003B">
        <w:rPr>
          <w:rFonts w:asciiTheme="majorHAnsi" w:eastAsia="Arial" w:hAnsiTheme="majorHAnsi" w:cs="Arial"/>
          <w:color w:val="000000"/>
          <w:sz w:val="24"/>
          <w:szCs w:val="24"/>
        </w:rPr>
        <w:t>, in addition to standard Select Agent regulations</w:t>
      </w:r>
      <w:r w:rsidRPr="0030003B">
        <w:rPr>
          <w:rFonts w:asciiTheme="majorHAnsi" w:eastAsia="Arial" w:hAnsiTheme="majorHAnsi" w:cs="Arial"/>
          <w:color w:val="000000"/>
          <w:sz w:val="24"/>
          <w:szCs w:val="24"/>
        </w:rPr>
        <w:t xml:space="preserve"> there </w:t>
      </w:r>
      <w:r w:rsidR="004A6CE0" w:rsidRPr="0030003B">
        <w:rPr>
          <w:rFonts w:asciiTheme="majorHAnsi" w:eastAsia="Arial" w:hAnsiTheme="majorHAnsi" w:cs="Arial"/>
          <w:color w:val="000000"/>
          <w:sz w:val="24"/>
          <w:szCs w:val="24"/>
        </w:rPr>
        <w:t>are further</w:t>
      </w:r>
      <w:r w:rsidRPr="0030003B">
        <w:rPr>
          <w:rFonts w:asciiTheme="majorHAnsi" w:eastAsia="Arial" w:hAnsiTheme="majorHAnsi" w:cs="Arial"/>
          <w:color w:val="000000"/>
          <w:sz w:val="24"/>
          <w:szCs w:val="24"/>
        </w:rPr>
        <w:t xml:space="preserve"> requirement</w:t>
      </w:r>
      <w:r w:rsidR="004A6CE0" w:rsidRPr="0030003B">
        <w:rPr>
          <w:rFonts w:asciiTheme="majorHAnsi" w:eastAsia="Arial" w:hAnsiTheme="majorHAnsi" w:cs="Arial"/>
          <w:color w:val="000000"/>
          <w:sz w:val="24"/>
          <w:szCs w:val="24"/>
        </w:rPr>
        <w:t>s</w:t>
      </w:r>
      <w:r w:rsidRPr="0030003B">
        <w:rPr>
          <w:rFonts w:asciiTheme="majorHAnsi" w:eastAsia="Arial" w:hAnsiTheme="majorHAnsi" w:cs="Arial"/>
          <w:color w:val="000000"/>
          <w:sz w:val="24"/>
          <w:szCs w:val="24"/>
        </w:rPr>
        <w:t xml:space="preserve"> for Botulinum neurotoxin because it has been </w:t>
      </w:r>
      <w:r w:rsidR="004A6CE0" w:rsidRPr="0030003B">
        <w:rPr>
          <w:rFonts w:asciiTheme="majorHAnsi" w:eastAsia="Arial" w:hAnsiTheme="majorHAnsi" w:cs="Arial"/>
          <w:color w:val="000000"/>
          <w:sz w:val="24"/>
          <w:szCs w:val="24"/>
        </w:rPr>
        <w:t xml:space="preserve">designated </w:t>
      </w:r>
      <w:r w:rsidRPr="0030003B">
        <w:rPr>
          <w:rFonts w:asciiTheme="majorHAnsi" w:eastAsia="Arial" w:hAnsiTheme="majorHAnsi" w:cs="Arial"/>
          <w:color w:val="000000"/>
          <w:sz w:val="24"/>
          <w:szCs w:val="24"/>
        </w:rPr>
        <w:t xml:space="preserve">as </w:t>
      </w:r>
      <w:r w:rsidR="004A6CE0" w:rsidRPr="0030003B">
        <w:rPr>
          <w:rFonts w:asciiTheme="majorHAnsi" w:eastAsia="Arial" w:hAnsiTheme="majorHAnsi" w:cs="Arial"/>
          <w:color w:val="000000"/>
          <w:sz w:val="24"/>
          <w:szCs w:val="24"/>
        </w:rPr>
        <w:t xml:space="preserve">a tier 1 Select Agent </w:t>
      </w:r>
      <w:r w:rsidRPr="0030003B">
        <w:rPr>
          <w:rFonts w:asciiTheme="majorHAnsi" w:eastAsia="Arial" w:hAnsiTheme="majorHAnsi" w:cs="Arial"/>
          <w:color w:val="000000"/>
          <w:sz w:val="24"/>
          <w:szCs w:val="24"/>
        </w:rPr>
        <w:t xml:space="preserve">presenting the greatest risk of deliberate misuse with most significant potential for mass casualties or devastating effects to the economy, critical infrastructure, or public confidence. In addition to Botulinum neurotoxins (BoNT), the nucleic acids that encode for the functional forms of Botulinum neurotoxins that are expressed recombinantly or synthetically made are also </w:t>
      </w:r>
      <w:r w:rsidR="004A6CE0" w:rsidRPr="0030003B">
        <w:rPr>
          <w:rFonts w:asciiTheme="majorHAnsi" w:eastAsia="Arial" w:hAnsiTheme="majorHAnsi" w:cs="Arial"/>
          <w:color w:val="000000"/>
          <w:sz w:val="24"/>
          <w:szCs w:val="24"/>
        </w:rPr>
        <w:t xml:space="preserve">subject to Select Agent regulations and (in the USA) </w:t>
      </w:r>
      <w:r w:rsidRPr="0030003B">
        <w:rPr>
          <w:rFonts w:asciiTheme="majorHAnsi" w:eastAsia="Arial" w:hAnsiTheme="majorHAnsi" w:cs="Arial"/>
          <w:color w:val="000000"/>
          <w:sz w:val="24"/>
          <w:szCs w:val="24"/>
        </w:rPr>
        <w:t xml:space="preserve">Tier 1 </w:t>
      </w:r>
      <w:r w:rsidR="004A6CE0" w:rsidRPr="0030003B">
        <w:rPr>
          <w:rFonts w:asciiTheme="majorHAnsi" w:eastAsia="Arial" w:hAnsiTheme="majorHAnsi" w:cs="Arial"/>
          <w:color w:val="000000"/>
          <w:sz w:val="24"/>
          <w:szCs w:val="24"/>
        </w:rPr>
        <w:t>requirements</w:t>
      </w:r>
      <w:r w:rsidRPr="0030003B">
        <w:rPr>
          <w:rFonts w:asciiTheme="majorHAnsi" w:eastAsia="Arial" w:hAnsiTheme="majorHAnsi" w:cs="Arial"/>
          <w:color w:val="000000"/>
          <w:sz w:val="24"/>
          <w:szCs w:val="24"/>
          <w:vertAlign w:val="superscript"/>
        </w:rPr>
        <w:t>1</w:t>
      </w:r>
      <w:r w:rsidRPr="0030003B">
        <w:rPr>
          <w:rFonts w:asciiTheme="majorHAnsi" w:eastAsia="Arial" w:hAnsiTheme="majorHAnsi" w:cs="Arial"/>
          <w:color w:val="000000"/>
          <w:sz w:val="24"/>
          <w:szCs w:val="24"/>
        </w:rPr>
        <w:t xml:space="preserve">. All work </w:t>
      </w:r>
      <w:r w:rsidR="00874110">
        <w:rPr>
          <w:rFonts w:asciiTheme="majorHAnsi" w:eastAsia="Arial" w:hAnsiTheme="majorHAnsi" w:cs="Arial"/>
          <w:color w:val="000000"/>
          <w:sz w:val="24"/>
          <w:szCs w:val="24"/>
        </w:rPr>
        <w:t xml:space="preserve">in DCU </w:t>
      </w:r>
      <w:r w:rsidRPr="0030003B">
        <w:rPr>
          <w:rFonts w:asciiTheme="majorHAnsi" w:eastAsia="Arial" w:hAnsiTheme="majorHAnsi" w:cs="Arial"/>
          <w:color w:val="000000"/>
          <w:sz w:val="24"/>
          <w:szCs w:val="24"/>
        </w:rPr>
        <w:t xml:space="preserve">involving toxins from the list in Table 1 will require registration with, and approval by the Biological Safety Committee. </w:t>
      </w:r>
    </w:p>
    <w:p w14:paraId="2840621F" w14:textId="77777777" w:rsidR="00874110" w:rsidRDefault="00874110">
      <w:pPr>
        <w:pBdr>
          <w:top w:val="nil"/>
          <w:left w:val="nil"/>
          <w:bottom w:val="nil"/>
          <w:right w:val="nil"/>
          <w:between w:val="nil"/>
        </w:pBdr>
        <w:spacing w:after="0" w:line="240" w:lineRule="auto"/>
        <w:jc w:val="both"/>
        <w:rPr>
          <w:rFonts w:asciiTheme="majorHAnsi" w:eastAsia="Arial" w:hAnsiTheme="majorHAnsi" w:cs="Arial"/>
          <w:color w:val="000000"/>
          <w:sz w:val="24"/>
          <w:szCs w:val="24"/>
        </w:rPr>
      </w:pPr>
    </w:p>
    <w:p w14:paraId="31240FED" w14:textId="77777777" w:rsidR="00E43C93" w:rsidRPr="00192B8D" w:rsidRDefault="00E43C93">
      <w:pPr>
        <w:jc w:val="both"/>
        <w:rPr>
          <w:rFonts w:asciiTheme="majorHAnsi" w:eastAsia="Arial" w:hAnsiTheme="majorHAnsi" w:cs="Arial"/>
          <w:sz w:val="20"/>
          <w:szCs w:val="20"/>
        </w:rPr>
      </w:pPr>
    </w:p>
    <w:p w14:paraId="4F83B2E4" w14:textId="77777777" w:rsidR="00E43C93" w:rsidRPr="0030003B" w:rsidRDefault="001C51B4">
      <w:pPr>
        <w:numPr>
          <w:ilvl w:val="0"/>
          <w:numId w:val="1"/>
        </w:numPr>
        <w:pBdr>
          <w:top w:val="nil"/>
          <w:left w:val="nil"/>
          <w:bottom w:val="nil"/>
          <w:right w:val="nil"/>
          <w:between w:val="nil"/>
        </w:pBdr>
        <w:spacing w:after="0" w:line="240" w:lineRule="auto"/>
        <w:jc w:val="both"/>
        <w:rPr>
          <w:rFonts w:asciiTheme="majorHAnsi" w:eastAsia="Arial" w:hAnsiTheme="majorHAnsi" w:cs="Arial"/>
          <w:b/>
          <w:color w:val="000000"/>
          <w:sz w:val="24"/>
          <w:szCs w:val="24"/>
        </w:rPr>
      </w:pPr>
      <w:r w:rsidRPr="0030003B">
        <w:rPr>
          <w:rFonts w:asciiTheme="majorHAnsi" w:eastAsia="Arial" w:hAnsiTheme="majorHAnsi" w:cs="Arial"/>
          <w:b/>
          <w:color w:val="000000"/>
          <w:sz w:val="24"/>
          <w:szCs w:val="24"/>
        </w:rPr>
        <w:lastRenderedPageBreak/>
        <w:t>Review and approval for possession and use of toxins:</w:t>
      </w:r>
    </w:p>
    <w:p w14:paraId="0A72ACB9" w14:textId="77777777" w:rsidR="00E43C93" w:rsidRPr="0030003B" w:rsidRDefault="001C51B4">
      <w:pPr>
        <w:numPr>
          <w:ilvl w:val="1"/>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Prior to working with the toxin the Principal Investigator (PIs) must complete and submit the following documents to the BSC:</w:t>
      </w:r>
    </w:p>
    <w:p w14:paraId="6C58EB27"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A copy of the biological toxin(s</w:t>
      </w:r>
      <w:r w:rsidRPr="0030003B">
        <w:rPr>
          <w:rFonts w:asciiTheme="majorHAnsi" w:eastAsia="Arial" w:hAnsiTheme="majorHAnsi" w:cs="Arial"/>
          <w:sz w:val="24"/>
          <w:szCs w:val="24"/>
        </w:rPr>
        <w:t xml:space="preserve">) </w:t>
      </w:r>
      <w:r w:rsidRPr="0030003B">
        <w:rPr>
          <w:rFonts w:asciiTheme="majorHAnsi" w:eastAsia="Arial" w:hAnsiTheme="majorHAnsi" w:cs="Arial"/>
          <w:color w:val="000000"/>
          <w:sz w:val="24"/>
          <w:szCs w:val="24"/>
        </w:rPr>
        <w:t>registration form (Appendix 1)</w:t>
      </w:r>
    </w:p>
    <w:p w14:paraId="2A422EFB"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A copy of the risk assessment</w:t>
      </w:r>
    </w:p>
    <w:p w14:paraId="481117BE"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 xml:space="preserve">Manufacturer’s safety data sheet and or protocols for culture of biological agents or isolation or production of toxins (synthetically or recombinantly produced). </w:t>
      </w:r>
    </w:p>
    <w:p w14:paraId="52C8B594"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A clear and user-friendly inventory for each toxin so the end user and audit team can quickly determine the amount of toxin in storage including undiluted vials, diluted stocks and aliquots.</w:t>
      </w:r>
    </w:p>
    <w:p w14:paraId="78EADBA2"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Standard operating procedures with relevant safety information.</w:t>
      </w:r>
    </w:p>
    <w:p w14:paraId="64F8D321" w14:textId="638E38E5"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Occupational health advice must be sought on the requirement for vaccination</w:t>
      </w:r>
      <w:r w:rsidR="007C4927" w:rsidRPr="0030003B">
        <w:rPr>
          <w:rFonts w:asciiTheme="majorHAnsi" w:eastAsia="Arial" w:hAnsiTheme="majorHAnsi" w:cs="Arial"/>
          <w:color w:val="000000"/>
          <w:sz w:val="24"/>
          <w:szCs w:val="24"/>
        </w:rPr>
        <w:t>.</w:t>
      </w:r>
    </w:p>
    <w:p w14:paraId="38C88DCD" w14:textId="4E3B68FC"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b/>
          <w:color w:val="000000"/>
          <w:sz w:val="24"/>
          <w:szCs w:val="24"/>
        </w:rPr>
        <w:t xml:space="preserve">PI must </w:t>
      </w:r>
      <w:r w:rsidR="00874110">
        <w:rPr>
          <w:rFonts w:asciiTheme="majorHAnsi" w:eastAsia="Arial" w:hAnsiTheme="majorHAnsi" w:cs="Arial"/>
          <w:b/>
          <w:color w:val="000000"/>
          <w:sz w:val="24"/>
          <w:szCs w:val="24"/>
        </w:rPr>
        <w:t>submit an SOP</w:t>
      </w:r>
      <w:r w:rsidRPr="0030003B">
        <w:rPr>
          <w:rFonts w:asciiTheme="majorHAnsi" w:eastAsia="Arial" w:hAnsiTheme="majorHAnsi" w:cs="Arial"/>
          <w:b/>
          <w:color w:val="000000"/>
          <w:sz w:val="24"/>
          <w:szCs w:val="24"/>
        </w:rPr>
        <w:t xml:space="preserve"> </w:t>
      </w:r>
      <w:r w:rsidR="00874110">
        <w:rPr>
          <w:rFonts w:asciiTheme="majorHAnsi" w:eastAsia="Arial" w:hAnsiTheme="majorHAnsi" w:cs="Arial"/>
          <w:b/>
          <w:color w:val="000000"/>
          <w:sz w:val="24"/>
          <w:szCs w:val="24"/>
        </w:rPr>
        <w:t xml:space="preserve">on how </w:t>
      </w:r>
      <w:r w:rsidRPr="0030003B">
        <w:rPr>
          <w:rFonts w:asciiTheme="majorHAnsi" w:eastAsia="Arial" w:hAnsiTheme="majorHAnsi" w:cs="Arial"/>
          <w:b/>
          <w:color w:val="000000"/>
          <w:sz w:val="24"/>
          <w:szCs w:val="24"/>
        </w:rPr>
        <w:t>to deal with exposure and show evidence that they have liaised with a local accident and emergency department</w:t>
      </w:r>
      <w:r w:rsidRPr="0030003B">
        <w:rPr>
          <w:rFonts w:asciiTheme="majorHAnsi" w:eastAsia="Arial" w:hAnsiTheme="majorHAnsi" w:cs="Arial"/>
          <w:b/>
          <w:color w:val="538135"/>
          <w:sz w:val="24"/>
          <w:szCs w:val="24"/>
        </w:rPr>
        <w:t xml:space="preserve"> </w:t>
      </w:r>
      <w:r w:rsidRPr="0030003B">
        <w:rPr>
          <w:rFonts w:asciiTheme="majorHAnsi" w:eastAsia="Arial" w:hAnsiTheme="majorHAnsi" w:cs="Arial"/>
          <w:b/>
          <w:color w:val="000000"/>
          <w:sz w:val="24"/>
          <w:szCs w:val="24"/>
        </w:rPr>
        <w:t>to make them aware of any potential hazards or risks in the event that an individual is exposed.</w:t>
      </w:r>
    </w:p>
    <w:p w14:paraId="00F4D222" w14:textId="3FDA5690" w:rsidR="00E43C93" w:rsidRPr="0030003B" w:rsidRDefault="001C51B4">
      <w:pPr>
        <w:numPr>
          <w:ilvl w:val="1"/>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Prior to the final BS</w:t>
      </w:r>
      <w:r w:rsidR="007C4927" w:rsidRPr="0030003B">
        <w:rPr>
          <w:rFonts w:asciiTheme="majorHAnsi" w:eastAsia="Arial" w:hAnsiTheme="majorHAnsi" w:cs="Arial"/>
          <w:color w:val="000000"/>
          <w:sz w:val="24"/>
          <w:szCs w:val="24"/>
        </w:rPr>
        <w:t>C</w:t>
      </w:r>
      <w:r w:rsidRPr="0030003B">
        <w:rPr>
          <w:rFonts w:asciiTheme="majorHAnsi" w:eastAsia="Arial" w:hAnsiTheme="majorHAnsi" w:cs="Arial"/>
          <w:color w:val="000000"/>
          <w:sz w:val="24"/>
          <w:szCs w:val="24"/>
        </w:rPr>
        <w:t xml:space="preserve"> approval the DCU </w:t>
      </w:r>
      <w:r w:rsidR="001F1560" w:rsidRPr="0030003B">
        <w:rPr>
          <w:rFonts w:asciiTheme="majorHAnsi" w:eastAsia="Arial" w:hAnsiTheme="majorHAnsi" w:cs="Arial"/>
          <w:color w:val="000000"/>
          <w:sz w:val="24"/>
          <w:szCs w:val="24"/>
        </w:rPr>
        <w:t>BSA</w:t>
      </w:r>
      <w:r w:rsidR="009752DA" w:rsidRPr="0030003B">
        <w:rPr>
          <w:rFonts w:asciiTheme="majorHAnsi" w:eastAsia="Arial" w:hAnsiTheme="majorHAnsi" w:cs="Arial"/>
          <w:color w:val="000000"/>
          <w:sz w:val="24"/>
          <w:szCs w:val="24"/>
        </w:rPr>
        <w:t xml:space="preserve"> </w:t>
      </w:r>
      <w:r w:rsidRPr="0030003B">
        <w:rPr>
          <w:rFonts w:asciiTheme="majorHAnsi" w:eastAsia="Arial" w:hAnsiTheme="majorHAnsi" w:cs="Arial"/>
          <w:color w:val="000000"/>
          <w:sz w:val="24"/>
          <w:szCs w:val="24"/>
        </w:rPr>
        <w:t xml:space="preserve">will meet with laboratory personnel who plan to use toxins in order to inspect the premises, review the proposed procedures and provide guidance on procedural refinements. </w:t>
      </w:r>
    </w:p>
    <w:p w14:paraId="4B2E21F7" w14:textId="64C25067" w:rsidR="00E43C93" w:rsidRPr="0030003B" w:rsidRDefault="001C51B4">
      <w:pPr>
        <w:numPr>
          <w:ilvl w:val="1"/>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Post BSC approval the following</w:t>
      </w:r>
      <w:r w:rsidR="007C4927" w:rsidRPr="0030003B">
        <w:rPr>
          <w:rFonts w:asciiTheme="majorHAnsi" w:eastAsia="Arial" w:hAnsiTheme="majorHAnsi" w:cs="Arial"/>
          <w:color w:val="000000"/>
          <w:sz w:val="24"/>
          <w:szCs w:val="24"/>
        </w:rPr>
        <w:t xml:space="preserve"> procedures must be followed:</w:t>
      </w:r>
    </w:p>
    <w:p w14:paraId="43D9E2BD" w14:textId="58377379"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 xml:space="preserve">Quarterly audits will be performed to monitor stocks and PIs must agree to participate in occasional unplanned inspections by the </w:t>
      </w:r>
      <w:r w:rsidR="004A6CE0" w:rsidRPr="0030003B">
        <w:rPr>
          <w:rFonts w:asciiTheme="majorHAnsi" w:eastAsia="Arial" w:hAnsiTheme="majorHAnsi" w:cs="Arial"/>
          <w:color w:val="000000"/>
          <w:sz w:val="24"/>
          <w:szCs w:val="24"/>
        </w:rPr>
        <w:t>BSA</w:t>
      </w:r>
      <w:r w:rsidRPr="0030003B">
        <w:rPr>
          <w:rFonts w:asciiTheme="majorHAnsi" w:eastAsia="Arial" w:hAnsiTheme="majorHAnsi" w:cs="Arial"/>
          <w:color w:val="000000"/>
          <w:sz w:val="24"/>
          <w:szCs w:val="24"/>
        </w:rPr>
        <w:t>.</w:t>
      </w:r>
    </w:p>
    <w:p w14:paraId="18DC4215"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 xml:space="preserve">HSA and EPA approval must be sought post-BSC approval if relevant.  </w:t>
      </w:r>
    </w:p>
    <w:p w14:paraId="54DFD5CD" w14:textId="77777777" w:rsidR="00E43C93" w:rsidRPr="0030003B" w:rsidRDefault="001C51B4">
      <w:pPr>
        <w:numPr>
          <w:ilvl w:val="2"/>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Up</w:t>
      </w:r>
      <w:r w:rsidRPr="0030003B">
        <w:rPr>
          <w:rFonts w:asciiTheme="majorHAnsi" w:eastAsia="Arial" w:hAnsiTheme="majorHAnsi" w:cs="Arial"/>
          <w:sz w:val="24"/>
          <w:szCs w:val="24"/>
        </w:rPr>
        <w:t>-</w:t>
      </w:r>
      <w:r w:rsidRPr="0030003B">
        <w:rPr>
          <w:rFonts w:asciiTheme="majorHAnsi" w:eastAsia="Arial" w:hAnsiTheme="majorHAnsi" w:cs="Arial"/>
          <w:color w:val="000000"/>
          <w:sz w:val="24"/>
          <w:szCs w:val="24"/>
        </w:rPr>
        <w:t>to</w:t>
      </w:r>
      <w:r w:rsidRPr="0030003B">
        <w:rPr>
          <w:rFonts w:asciiTheme="majorHAnsi" w:eastAsia="Arial" w:hAnsiTheme="majorHAnsi" w:cs="Arial"/>
          <w:sz w:val="24"/>
          <w:szCs w:val="24"/>
        </w:rPr>
        <w:t>-</w:t>
      </w:r>
      <w:r w:rsidRPr="0030003B">
        <w:rPr>
          <w:rFonts w:asciiTheme="majorHAnsi" w:eastAsia="Arial" w:hAnsiTheme="majorHAnsi" w:cs="Arial"/>
          <w:color w:val="000000"/>
          <w:sz w:val="24"/>
          <w:szCs w:val="24"/>
        </w:rPr>
        <w:t xml:space="preserve">date training records for all personnel authorised to handle the toxins must be maintained and available for inspection by BSC.   </w:t>
      </w:r>
    </w:p>
    <w:p w14:paraId="2A19FFD4" w14:textId="3F8AB45C" w:rsidR="00E43C93" w:rsidRPr="0030003B" w:rsidRDefault="001C51B4">
      <w:pPr>
        <w:numPr>
          <w:ilvl w:val="1"/>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All work performed in the Bioresource unit (BRU) involving toxins in animals (including modified toxins) is subject to approval by HPRA only following BSC approval. All adverse events for all toxins (including modified native, synthetic or recombinant toxins) involving animals must be reported to the BS</w:t>
      </w:r>
      <w:r w:rsidR="001F1560"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immediately. Quarterly updates of projects involving toxin must be submitted in writing to the BSC by BRU manager. These reports include a description of the nature of work, amount of toxin administered, the disposal of any toxin and a list of adverse events. All animal fatalities or severe adverse events must be reported to the </w:t>
      </w:r>
      <w:r w:rsidR="001F1560" w:rsidRPr="0030003B">
        <w:rPr>
          <w:rFonts w:asciiTheme="majorHAnsi" w:eastAsia="Arial" w:hAnsiTheme="majorHAnsi" w:cs="Arial"/>
          <w:color w:val="000000"/>
          <w:sz w:val="24"/>
          <w:szCs w:val="24"/>
        </w:rPr>
        <w:t>BSA</w:t>
      </w:r>
      <w:r w:rsidRPr="0030003B">
        <w:rPr>
          <w:rFonts w:asciiTheme="majorHAnsi" w:eastAsia="Arial" w:hAnsiTheme="majorHAnsi" w:cs="Arial"/>
          <w:color w:val="000000"/>
          <w:sz w:val="24"/>
          <w:szCs w:val="24"/>
        </w:rPr>
        <w:t xml:space="preserve"> immediately.   </w:t>
      </w:r>
    </w:p>
    <w:p w14:paraId="42782023" w14:textId="7FE699D1" w:rsidR="00E43C93" w:rsidRPr="0030003B" w:rsidRDefault="001C51B4">
      <w:pPr>
        <w:numPr>
          <w:ilvl w:val="1"/>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The BS</w:t>
      </w:r>
      <w:r w:rsidR="001F1560"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has the authority to discontinue any work with toxins if there is failure to record and account for any toxins or if there are failures to adhere to agreed protocols and processes.   </w:t>
      </w:r>
    </w:p>
    <w:p w14:paraId="1575BA6E" w14:textId="77777777" w:rsidR="00E43C93" w:rsidRPr="00192B8D" w:rsidRDefault="00E43C93">
      <w:pPr>
        <w:spacing w:after="0" w:line="240" w:lineRule="auto"/>
        <w:jc w:val="both"/>
        <w:rPr>
          <w:rFonts w:asciiTheme="majorHAnsi" w:eastAsia="Arial" w:hAnsiTheme="majorHAnsi" w:cs="Arial"/>
          <w:b/>
          <w:sz w:val="20"/>
          <w:szCs w:val="20"/>
        </w:rPr>
      </w:pPr>
    </w:p>
    <w:p w14:paraId="607DCE06" w14:textId="771B74A7" w:rsidR="00E43C93" w:rsidRPr="0030003B" w:rsidRDefault="001C51B4">
      <w:pPr>
        <w:numPr>
          <w:ilvl w:val="0"/>
          <w:numId w:val="1"/>
        </w:numPr>
        <w:pBdr>
          <w:top w:val="nil"/>
          <w:left w:val="nil"/>
          <w:bottom w:val="nil"/>
          <w:right w:val="nil"/>
          <w:between w:val="nil"/>
        </w:pBdr>
        <w:spacing w:after="0" w:line="240" w:lineRule="auto"/>
        <w:jc w:val="both"/>
        <w:rPr>
          <w:rFonts w:asciiTheme="majorHAnsi" w:eastAsia="Arial" w:hAnsiTheme="majorHAnsi" w:cs="Arial"/>
          <w:b/>
          <w:color w:val="000000"/>
          <w:sz w:val="24"/>
          <w:szCs w:val="24"/>
        </w:rPr>
      </w:pPr>
      <w:r w:rsidRPr="0030003B">
        <w:rPr>
          <w:rFonts w:asciiTheme="majorHAnsi" w:eastAsia="Arial" w:hAnsiTheme="majorHAnsi" w:cs="Arial"/>
          <w:b/>
          <w:color w:val="000000"/>
          <w:sz w:val="24"/>
          <w:szCs w:val="24"/>
        </w:rPr>
        <w:t xml:space="preserve">Registration of Toxins </w:t>
      </w:r>
      <w:r w:rsidRPr="0030003B">
        <w:rPr>
          <w:rFonts w:asciiTheme="majorHAnsi" w:eastAsia="Arial" w:hAnsiTheme="majorHAnsi" w:cs="Arial"/>
          <w:color w:val="000000"/>
          <w:sz w:val="24"/>
          <w:szCs w:val="24"/>
        </w:rPr>
        <w:t>Possession and use of toxin(s) must be registered with the BSC using the</w:t>
      </w:r>
      <w:r w:rsidRPr="0030003B">
        <w:rPr>
          <w:rFonts w:asciiTheme="majorHAnsi" w:eastAsia="Arial" w:hAnsiTheme="majorHAnsi" w:cs="Arial"/>
          <w:sz w:val="24"/>
          <w:szCs w:val="24"/>
        </w:rPr>
        <w:t xml:space="preserve"> toxin</w:t>
      </w:r>
      <w:r w:rsidRPr="0030003B">
        <w:rPr>
          <w:rFonts w:asciiTheme="majorHAnsi" w:eastAsia="Arial" w:hAnsiTheme="majorHAnsi" w:cs="Arial"/>
          <w:color w:val="000000"/>
          <w:sz w:val="24"/>
          <w:szCs w:val="24"/>
        </w:rPr>
        <w:t xml:space="preserve"> registration form </w:t>
      </w:r>
      <w:r w:rsidR="00EE3B83" w:rsidRPr="0030003B">
        <w:rPr>
          <w:rFonts w:asciiTheme="majorHAnsi" w:eastAsia="Arial" w:hAnsiTheme="majorHAnsi" w:cs="Arial"/>
          <w:color w:val="000000"/>
          <w:sz w:val="24"/>
          <w:szCs w:val="24"/>
        </w:rPr>
        <w:t xml:space="preserve">along with a Risk Assessment </w:t>
      </w:r>
      <w:r w:rsidR="00796F6D" w:rsidRPr="0030003B">
        <w:rPr>
          <w:rFonts w:asciiTheme="majorHAnsi" w:eastAsia="Arial" w:hAnsiTheme="majorHAnsi" w:cs="Arial"/>
          <w:color w:val="000000"/>
          <w:sz w:val="24"/>
          <w:szCs w:val="24"/>
        </w:rPr>
        <w:t xml:space="preserve">and </w:t>
      </w:r>
      <w:r w:rsidR="00EE3B83" w:rsidRPr="0030003B">
        <w:rPr>
          <w:rFonts w:asciiTheme="majorHAnsi" w:eastAsia="Arial" w:hAnsiTheme="majorHAnsi" w:cs="Arial"/>
          <w:color w:val="000000"/>
          <w:sz w:val="24"/>
          <w:szCs w:val="24"/>
        </w:rPr>
        <w:t>standard operating procedures (SOPs) for the activity</w:t>
      </w:r>
      <w:r w:rsidRPr="0030003B">
        <w:rPr>
          <w:rFonts w:asciiTheme="majorHAnsi" w:eastAsia="Arial" w:hAnsiTheme="majorHAnsi" w:cs="Arial"/>
          <w:color w:val="000000"/>
          <w:sz w:val="24"/>
          <w:szCs w:val="24"/>
        </w:rPr>
        <w:t xml:space="preserve">. The BSC must also approve projects involving the deliberate formation of recombinant or synthetic nucleic acid molecules containing genes for the biosynthesis of toxin molecules prior to the initiation of the project. Work cannot begin until project has been authorised by the BSC and other relevant agencies such as the EPA. The toxins that require registration are selected based upon </w:t>
      </w:r>
      <w:r w:rsidRPr="0030003B">
        <w:rPr>
          <w:rFonts w:asciiTheme="majorHAnsi" w:eastAsia="Arial" w:hAnsiTheme="majorHAnsi" w:cs="Arial"/>
          <w:color w:val="000000"/>
          <w:sz w:val="24"/>
          <w:szCs w:val="24"/>
        </w:rPr>
        <w:lastRenderedPageBreak/>
        <w:t>known LD</w:t>
      </w:r>
      <w:r w:rsidRPr="0030003B">
        <w:rPr>
          <w:rFonts w:asciiTheme="majorHAnsi" w:eastAsia="Arial" w:hAnsiTheme="majorHAnsi" w:cs="Arial"/>
          <w:color w:val="000000"/>
          <w:sz w:val="24"/>
          <w:szCs w:val="24"/>
          <w:vertAlign w:val="subscript"/>
        </w:rPr>
        <w:t>50</w:t>
      </w:r>
      <w:r w:rsidRPr="0030003B">
        <w:rPr>
          <w:rFonts w:asciiTheme="majorHAnsi" w:eastAsia="Arial" w:hAnsiTheme="majorHAnsi" w:cs="Arial"/>
          <w:color w:val="000000"/>
          <w:sz w:val="24"/>
          <w:szCs w:val="24"/>
        </w:rPr>
        <w:t xml:space="preserve"> values (Table 1). Please note that this list is not exhaustive</w:t>
      </w:r>
      <w:r w:rsidR="004A6CE0" w:rsidRPr="0030003B">
        <w:rPr>
          <w:rFonts w:asciiTheme="majorHAnsi" w:eastAsia="Arial" w:hAnsiTheme="majorHAnsi" w:cs="Arial"/>
          <w:color w:val="000000"/>
          <w:sz w:val="24"/>
          <w:szCs w:val="24"/>
        </w:rPr>
        <w:t>, is subject to regular revision</w:t>
      </w:r>
      <w:r w:rsidR="00874110">
        <w:rPr>
          <w:rFonts w:asciiTheme="majorHAnsi" w:eastAsia="Arial" w:hAnsiTheme="majorHAnsi" w:cs="Arial"/>
          <w:color w:val="000000"/>
          <w:sz w:val="24"/>
          <w:szCs w:val="24"/>
        </w:rPr>
        <w:t xml:space="preserve"> with additional biological toxins being registered as appropriate. </w:t>
      </w:r>
      <w:r w:rsidRPr="0030003B">
        <w:rPr>
          <w:rFonts w:asciiTheme="majorHAnsi" w:eastAsia="Arial" w:hAnsiTheme="majorHAnsi" w:cs="Arial"/>
          <w:color w:val="000000"/>
          <w:sz w:val="24"/>
          <w:szCs w:val="24"/>
        </w:rPr>
        <w:t xml:space="preserve"> Please contact the BS</w:t>
      </w:r>
      <w:r w:rsidR="001F1560"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prior to working with any toxin. </w:t>
      </w:r>
    </w:p>
    <w:p w14:paraId="5555A1A2" w14:textId="77777777" w:rsidR="00E43C93" w:rsidRPr="0030003B" w:rsidRDefault="00E43C93">
      <w:pPr>
        <w:pBdr>
          <w:top w:val="nil"/>
          <w:left w:val="nil"/>
          <w:bottom w:val="nil"/>
          <w:right w:val="nil"/>
          <w:between w:val="nil"/>
        </w:pBdr>
        <w:spacing w:after="0" w:line="240" w:lineRule="auto"/>
        <w:ind w:left="720"/>
        <w:jc w:val="both"/>
        <w:rPr>
          <w:rFonts w:asciiTheme="majorHAnsi" w:eastAsia="Arial" w:hAnsiTheme="majorHAnsi" w:cs="Arial"/>
          <w:color w:val="000000"/>
          <w:sz w:val="24"/>
          <w:szCs w:val="24"/>
        </w:rPr>
      </w:pPr>
    </w:p>
    <w:p w14:paraId="51269B71" w14:textId="3F4B5BE6" w:rsidR="00E43C93" w:rsidRPr="0030003B" w:rsidRDefault="001C51B4">
      <w:pPr>
        <w:pBdr>
          <w:top w:val="nil"/>
          <w:left w:val="nil"/>
          <w:bottom w:val="nil"/>
          <w:right w:val="nil"/>
          <w:between w:val="nil"/>
        </w:pBdr>
        <w:spacing w:after="0" w:line="240" w:lineRule="auto"/>
        <w:ind w:left="720"/>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Modified toxins that are less toxic than the original toxin may be subject to less stringen</w:t>
      </w:r>
      <w:r w:rsidRPr="0030003B">
        <w:rPr>
          <w:rFonts w:asciiTheme="majorHAnsi" w:eastAsia="Arial" w:hAnsiTheme="majorHAnsi" w:cs="Arial"/>
          <w:sz w:val="24"/>
          <w:szCs w:val="24"/>
        </w:rPr>
        <w:t xml:space="preserve">t </w:t>
      </w:r>
      <w:r w:rsidRPr="0030003B">
        <w:rPr>
          <w:rFonts w:asciiTheme="majorHAnsi" w:eastAsia="Arial" w:hAnsiTheme="majorHAnsi" w:cs="Arial"/>
          <w:color w:val="000000"/>
          <w:sz w:val="24"/>
          <w:szCs w:val="24"/>
        </w:rPr>
        <w:t xml:space="preserve">controls. The </w:t>
      </w:r>
      <w:r w:rsidR="00EE3B83" w:rsidRPr="0030003B">
        <w:rPr>
          <w:rFonts w:asciiTheme="majorHAnsi" w:eastAsia="Arial" w:hAnsiTheme="majorHAnsi" w:cs="Arial"/>
          <w:color w:val="000000"/>
          <w:sz w:val="24"/>
          <w:szCs w:val="24"/>
        </w:rPr>
        <w:t xml:space="preserve">BSC </w:t>
      </w:r>
      <w:r w:rsidRPr="0030003B">
        <w:rPr>
          <w:rFonts w:asciiTheme="majorHAnsi" w:eastAsia="Arial" w:hAnsiTheme="majorHAnsi" w:cs="Arial"/>
          <w:color w:val="000000"/>
          <w:sz w:val="24"/>
          <w:szCs w:val="24"/>
        </w:rPr>
        <w:t>will review a request by the PI based upon LD50 experiments using OECD approved methods</w:t>
      </w:r>
      <w:r w:rsidR="00874110">
        <w:rPr>
          <w:rFonts w:asciiTheme="majorHAnsi" w:eastAsia="Arial" w:hAnsiTheme="majorHAnsi" w:cs="Arial"/>
          <w:color w:val="000000"/>
          <w:sz w:val="24"/>
          <w:szCs w:val="24"/>
          <w:vertAlign w:val="superscript"/>
        </w:rPr>
        <w:t>4</w:t>
      </w:r>
      <w:r w:rsidRPr="0030003B">
        <w:rPr>
          <w:rFonts w:asciiTheme="majorHAnsi" w:eastAsia="Arial" w:hAnsiTheme="majorHAnsi" w:cs="Arial"/>
          <w:color w:val="000000"/>
          <w:sz w:val="24"/>
          <w:szCs w:val="24"/>
        </w:rPr>
        <w:t xml:space="preserve">. The </w:t>
      </w:r>
      <w:r w:rsidR="00EE3B83" w:rsidRPr="0030003B">
        <w:rPr>
          <w:rFonts w:asciiTheme="majorHAnsi" w:eastAsia="Arial" w:hAnsiTheme="majorHAnsi" w:cs="Arial"/>
          <w:color w:val="000000"/>
          <w:sz w:val="24"/>
          <w:szCs w:val="24"/>
        </w:rPr>
        <w:t xml:space="preserve">BSC </w:t>
      </w:r>
      <w:r w:rsidRPr="0030003B">
        <w:rPr>
          <w:rFonts w:asciiTheme="majorHAnsi" w:eastAsia="Arial" w:hAnsiTheme="majorHAnsi" w:cs="Arial"/>
          <w:color w:val="000000"/>
          <w:sz w:val="24"/>
          <w:szCs w:val="24"/>
        </w:rPr>
        <w:t>may consider advice f</w:t>
      </w:r>
      <w:r w:rsidRPr="0030003B">
        <w:rPr>
          <w:rFonts w:asciiTheme="majorHAnsi" w:eastAsia="Arial" w:hAnsiTheme="majorHAnsi" w:cs="Arial"/>
          <w:sz w:val="24"/>
          <w:szCs w:val="24"/>
        </w:rPr>
        <w:t>rom</w:t>
      </w:r>
      <w:r w:rsidRPr="0030003B">
        <w:rPr>
          <w:rFonts w:asciiTheme="majorHAnsi" w:eastAsia="Arial" w:hAnsiTheme="majorHAnsi" w:cs="Arial"/>
          <w:color w:val="000000"/>
          <w:sz w:val="24"/>
          <w:szCs w:val="24"/>
        </w:rPr>
        <w:t xml:space="preserve"> consultations with approved experts, evidence from relevant published studies and evidence from novel data generated in DCU. A case must be presented to the BSC in order to reduce any controls. Use of the toxin will continue to be monitored and additional controls reintroduced if there is a reintroduction of factor(s) associated with virulence, toxic activity, or other manipulations that modify the attenuation such that virulence or toxic activity is restored or enhanced. Please note modified toxins are not exempt from other regulatory, safety and good laboratory practice requirements. All work performed in the Bioresource unit (BRU) involving modified toxins in animals will continue to adhere to the same reporting requirements.  </w:t>
      </w:r>
    </w:p>
    <w:p w14:paraId="512624DA" w14:textId="77777777" w:rsidR="00E43C93" w:rsidRPr="00192B8D" w:rsidRDefault="00E43C93">
      <w:pPr>
        <w:pBdr>
          <w:top w:val="nil"/>
          <w:left w:val="nil"/>
          <w:bottom w:val="nil"/>
          <w:right w:val="nil"/>
          <w:between w:val="nil"/>
        </w:pBdr>
        <w:spacing w:after="0" w:line="240" w:lineRule="auto"/>
        <w:ind w:left="720"/>
        <w:jc w:val="both"/>
        <w:rPr>
          <w:rFonts w:asciiTheme="majorHAnsi" w:eastAsia="Arial" w:hAnsiTheme="majorHAnsi" w:cs="Arial"/>
          <w:sz w:val="20"/>
          <w:szCs w:val="20"/>
        </w:rPr>
      </w:pPr>
    </w:p>
    <w:p w14:paraId="3F60A120" w14:textId="77777777" w:rsidR="00E43C93" w:rsidRPr="0030003B" w:rsidRDefault="001C51B4">
      <w:pPr>
        <w:numPr>
          <w:ilvl w:val="0"/>
          <w:numId w:val="1"/>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b/>
          <w:color w:val="000000"/>
          <w:sz w:val="24"/>
          <w:szCs w:val="24"/>
        </w:rPr>
        <w:t xml:space="preserve">Exposure Hazards associated with the toxins: </w:t>
      </w:r>
      <w:r w:rsidRPr="0030003B">
        <w:rPr>
          <w:rFonts w:asciiTheme="majorHAnsi" w:eastAsia="Arial" w:hAnsiTheme="majorHAnsi" w:cs="Arial"/>
          <w:color w:val="000000"/>
          <w:sz w:val="24"/>
          <w:szCs w:val="24"/>
        </w:rPr>
        <w:t xml:space="preserve">When working with the toxin avoid high risk procedures (see examples below) and if this is necessary, put in processes to mitigate risk. Exposure to dry toxin product can be a significant exposure risk through accidental inhalation and through dispersal of toxin residues to the surrounding environment. The BSC recommends that researchers work with toxin suspended in a diluent. If a manufacturer supplies toxin as a dried powder, use a premeasured product that will permit the addition of the diluent without the need to open the container and manipulate the toxin. If you MUST manipulate a dry toxin in an open vessel, you MUST develop specific safety procedures addressing that exposure risk. </w:t>
      </w:r>
    </w:p>
    <w:p w14:paraId="791231F9" w14:textId="77777777" w:rsidR="00E43C93" w:rsidRPr="0030003B" w:rsidRDefault="00E43C93">
      <w:pPr>
        <w:pBdr>
          <w:top w:val="nil"/>
          <w:left w:val="nil"/>
          <w:bottom w:val="nil"/>
          <w:right w:val="nil"/>
          <w:between w:val="nil"/>
        </w:pBdr>
        <w:spacing w:after="0" w:line="240" w:lineRule="auto"/>
        <w:ind w:left="720"/>
        <w:jc w:val="both"/>
        <w:rPr>
          <w:rFonts w:asciiTheme="majorHAnsi" w:eastAsia="Arial" w:hAnsiTheme="majorHAnsi" w:cs="Arial"/>
          <w:b/>
          <w:sz w:val="24"/>
          <w:szCs w:val="24"/>
        </w:rPr>
      </w:pPr>
    </w:p>
    <w:p w14:paraId="70F06594" w14:textId="38A66BA5" w:rsidR="00874110" w:rsidRDefault="00EE3B83" w:rsidP="00733E74">
      <w:pPr>
        <w:pBdr>
          <w:top w:val="nil"/>
          <w:left w:val="nil"/>
          <w:bottom w:val="nil"/>
          <w:right w:val="nil"/>
          <w:between w:val="nil"/>
        </w:pBdr>
        <w:spacing w:after="0" w:line="240" w:lineRule="auto"/>
        <w:ind w:left="720"/>
        <w:jc w:val="both"/>
        <w:rPr>
          <w:rFonts w:asciiTheme="majorHAnsi" w:eastAsia="Arial" w:hAnsiTheme="majorHAnsi" w:cs="Arial"/>
          <w:color w:val="000000"/>
          <w:sz w:val="24"/>
          <w:szCs w:val="24"/>
          <w:vertAlign w:val="superscript"/>
        </w:rPr>
      </w:pPr>
      <w:r w:rsidRPr="0030003B">
        <w:rPr>
          <w:rFonts w:asciiTheme="majorHAnsi" w:eastAsia="Arial" w:hAnsiTheme="majorHAnsi" w:cs="Arial"/>
          <w:color w:val="000000"/>
          <w:sz w:val="24"/>
          <w:szCs w:val="24"/>
        </w:rPr>
        <w:t>Suitable containment measures and personal protective equipment must be used when working with toxins, especially if large amounts are used or high risk procedures are being performed (s</w:t>
      </w:r>
      <w:r w:rsidR="00DD21BE" w:rsidRPr="0030003B">
        <w:rPr>
          <w:rFonts w:asciiTheme="majorHAnsi" w:eastAsia="Arial" w:hAnsiTheme="majorHAnsi" w:cs="Arial"/>
          <w:color w:val="000000"/>
          <w:sz w:val="24"/>
          <w:szCs w:val="24"/>
        </w:rPr>
        <w:t>e</w:t>
      </w:r>
      <w:r w:rsidRPr="0030003B">
        <w:rPr>
          <w:rFonts w:asciiTheme="majorHAnsi" w:eastAsia="Arial" w:hAnsiTheme="majorHAnsi" w:cs="Arial"/>
          <w:color w:val="000000"/>
          <w:sz w:val="24"/>
          <w:szCs w:val="24"/>
        </w:rPr>
        <w:t xml:space="preserve">e below). Consider that toxins may not be retained fully by filters in Microbiological Safety Cabinets (MSCs) and </w:t>
      </w:r>
      <w:r w:rsidR="00DD21BE" w:rsidRPr="0030003B">
        <w:rPr>
          <w:rFonts w:asciiTheme="majorHAnsi" w:eastAsia="Arial" w:hAnsiTheme="majorHAnsi" w:cs="Arial"/>
          <w:color w:val="000000"/>
          <w:sz w:val="24"/>
          <w:szCs w:val="24"/>
        </w:rPr>
        <w:t xml:space="preserve">that </w:t>
      </w:r>
      <w:r w:rsidRPr="0030003B">
        <w:rPr>
          <w:rFonts w:asciiTheme="majorHAnsi" w:eastAsia="Arial" w:hAnsiTheme="majorHAnsi" w:cs="Arial"/>
          <w:color w:val="000000"/>
          <w:sz w:val="24"/>
          <w:szCs w:val="24"/>
        </w:rPr>
        <w:t xml:space="preserve">it might be necessary to use cabinets that are ducted to the external environment, or a fume hood. The most appropriate equipment to use will depend on the properties of the toxin in use and the types of activity being performed, with determination by risk assessment. Recommendations on physical containment measures to use when working with biological toxins can be found in </w:t>
      </w:r>
      <w:r w:rsidR="00796F6D" w:rsidRPr="0030003B">
        <w:rPr>
          <w:rFonts w:asciiTheme="majorHAnsi" w:eastAsia="Arial" w:hAnsiTheme="majorHAnsi" w:cs="Arial"/>
          <w:color w:val="000000"/>
          <w:sz w:val="24"/>
          <w:szCs w:val="24"/>
        </w:rPr>
        <w:t>the</w:t>
      </w:r>
      <w:r w:rsidR="00874110">
        <w:rPr>
          <w:rFonts w:asciiTheme="majorHAnsi" w:eastAsia="Arial" w:hAnsiTheme="majorHAnsi" w:cs="Arial"/>
          <w:color w:val="000000"/>
          <w:sz w:val="24"/>
          <w:szCs w:val="24"/>
        </w:rPr>
        <w:t xml:space="preserve"> </w:t>
      </w:r>
      <w:r w:rsidRPr="0030003B">
        <w:rPr>
          <w:rFonts w:asciiTheme="majorHAnsi" w:eastAsia="Arial" w:hAnsiTheme="majorHAnsi" w:cs="Arial"/>
          <w:color w:val="000000"/>
          <w:sz w:val="24"/>
          <w:szCs w:val="24"/>
        </w:rPr>
        <w:t>USA NIH/CDC guidebook ‘Biosafety in Microbiological and Biomedical Laboratories’</w:t>
      </w:r>
      <w:r w:rsidR="00874110">
        <w:rPr>
          <w:rFonts w:asciiTheme="majorHAnsi" w:eastAsia="Arial" w:hAnsiTheme="majorHAnsi" w:cs="Arial"/>
          <w:color w:val="000000"/>
          <w:sz w:val="24"/>
          <w:szCs w:val="24"/>
          <w:vertAlign w:val="superscript"/>
        </w:rPr>
        <w:t>5</w:t>
      </w:r>
    </w:p>
    <w:p w14:paraId="25B1FC16" w14:textId="77777777" w:rsidR="00874110" w:rsidRDefault="00874110">
      <w:pPr>
        <w:pBdr>
          <w:top w:val="nil"/>
          <w:left w:val="nil"/>
          <w:bottom w:val="nil"/>
          <w:right w:val="nil"/>
          <w:between w:val="nil"/>
        </w:pBdr>
        <w:spacing w:after="0" w:line="240" w:lineRule="auto"/>
        <w:ind w:left="720"/>
        <w:jc w:val="both"/>
        <w:rPr>
          <w:rFonts w:asciiTheme="majorHAnsi" w:eastAsia="Arial" w:hAnsiTheme="majorHAnsi" w:cs="Arial"/>
          <w:color w:val="000000"/>
          <w:sz w:val="24"/>
          <w:szCs w:val="24"/>
          <w:vertAlign w:val="superscript"/>
        </w:rPr>
      </w:pPr>
    </w:p>
    <w:p w14:paraId="38209DE7" w14:textId="77777777" w:rsidR="00874110" w:rsidRDefault="00874110">
      <w:pPr>
        <w:pBdr>
          <w:top w:val="nil"/>
          <w:left w:val="nil"/>
          <w:bottom w:val="nil"/>
          <w:right w:val="nil"/>
          <w:between w:val="nil"/>
        </w:pBdr>
        <w:spacing w:after="0" w:line="240" w:lineRule="auto"/>
        <w:ind w:left="720"/>
        <w:jc w:val="both"/>
        <w:rPr>
          <w:rFonts w:asciiTheme="majorHAnsi" w:eastAsia="Arial" w:hAnsiTheme="majorHAnsi" w:cs="Arial"/>
          <w:color w:val="000000"/>
          <w:sz w:val="24"/>
          <w:szCs w:val="24"/>
          <w:vertAlign w:val="superscript"/>
        </w:rPr>
      </w:pPr>
    </w:p>
    <w:p w14:paraId="56566C73" w14:textId="77777777" w:rsidR="00874110" w:rsidRPr="00C037CE" w:rsidRDefault="00874110" w:rsidP="00874110">
      <w:pPr>
        <w:pStyle w:val="Heading4"/>
        <w:spacing w:before="0" w:line="240" w:lineRule="auto"/>
        <w:ind w:left="720"/>
        <w:jc w:val="both"/>
        <w:rPr>
          <w:rFonts w:asciiTheme="majorHAnsi" w:eastAsia="Arial" w:hAnsiTheme="majorHAnsi" w:cs="Arial"/>
          <w:i w:val="0"/>
          <w:color w:val="000000"/>
          <w:sz w:val="24"/>
          <w:szCs w:val="24"/>
        </w:rPr>
      </w:pPr>
      <w:r w:rsidRPr="00C037CE">
        <w:rPr>
          <w:rFonts w:asciiTheme="majorHAnsi" w:eastAsia="Arial" w:hAnsiTheme="majorHAnsi" w:cs="Arial"/>
          <w:i w:val="0"/>
          <w:color w:val="000000"/>
          <w:sz w:val="24"/>
          <w:szCs w:val="24"/>
        </w:rPr>
        <w:t xml:space="preserve">The other significant exposure risk scenario is an accidental injection or cut while transferring or administering the toxin with a sharp device. Minimize as much as possible the use of sharps and those handling these devices need to follow sound safety practices to protect themselves and others who share the lab space from exposure to the toxin. Sharps handling procedures should be reviewed by the BSC and for toxin use additional steps may be required such as the use of pen needles. </w:t>
      </w:r>
    </w:p>
    <w:p w14:paraId="30A19128" w14:textId="77777777" w:rsidR="00874110" w:rsidRDefault="00874110" w:rsidP="00733E74">
      <w:pPr>
        <w:pBdr>
          <w:top w:val="nil"/>
          <w:left w:val="nil"/>
          <w:bottom w:val="nil"/>
          <w:right w:val="nil"/>
          <w:between w:val="nil"/>
        </w:pBdr>
        <w:spacing w:after="0" w:line="240" w:lineRule="auto"/>
        <w:ind w:left="720"/>
        <w:jc w:val="both"/>
        <w:rPr>
          <w:rFonts w:asciiTheme="majorHAnsi" w:eastAsia="Arial" w:hAnsiTheme="majorHAnsi" w:cs="Arial"/>
          <w:color w:val="000000"/>
          <w:sz w:val="24"/>
          <w:szCs w:val="24"/>
          <w:vertAlign w:val="superscript"/>
        </w:rPr>
      </w:pPr>
    </w:p>
    <w:p w14:paraId="7653AB01" w14:textId="6361986B" w:rsidR="00E43C93" w:rsidRPr="0030003B" w:rsidRDefault="001C51B4" w:rsidP="00733E74">
      <w:pPr>
        <w:pStyle w:val="Heading4"/>
        <w:spacing w:before="0" w:line="240" w:lineRule="auto"/>
        <w:ind w:left="720"/>
        <w:jc w:val="both"/>
        <w:rPr>
          <w:rFonts w:asciiTheme="majorHAnsi" w:eastAsia="Arial" w:hAnsiTheme="majorHAnsi" w:cs="Arial"/>
          <w:i w:val="0"/>
          <w:color w:val="000000"/>
          <w:sz w:val="24"/>
          <w:szCs w:val="24"/>
        </w:rPr>
      </w:pPr>
      <w:r w:rsidRPr="0030003B">
        <w:rPr>
          <w:rFonts w:asciiTheme="majorHAnsi" w:eastAsia="Arial" w:hAnsiTheme="majorHAnsi" w:cs="Arial"/>
          <w:i w:val="0"/>
          <w:color w:val="000000"/>
          <w:sz w:val="24"/>
          <w:szCs w:val="24"/>
        </w:rPr>
        <w:lastRenderedPageBreak/>
        <w:t>It is advisable that additional safe work practices are implemented such as a “Buddy System” when working with concentrations or amounts near or exceeding the LD</w:t>
      </w:r>
      <w:r w:rsidRPr="0030003B">
        <w:rPr>
          <w:rFonts w:asciiTheme="majorHAnsi" w:eastAsia="Arial" w:hAnsiTheme="majorHAnsi" w:cs="Arial"/>
          <w:i w:val="0"/>
          <w:color w:val="000000"/>
          <w:sz w:val="24"/>
          <w:szCs w:val="24"/>
          <w:vertAlign w:val="subscript"/>
        </w:rPr>
        <w:t>50</w:t>
      </w:r>
      <w:r w:rsidRPr="0030003B">
        <w:rPr>
          <w:rFonts w:asciiTheme="majorHAnsi" w:eastAsia="Arial" w:hAnsiTheme="majorHAnsi" w:cs="Arial"/>
          <w:i w:val="0"/>
          <w:color w:val="000000"/>
          <w:sz w:val="24"/>
          <w:szCs w:val="24"/>
        </w:rPr>
        <w:t xml:space="preserve"> dose for a human or when conducting higher risk procedures. The researcher should limit glassware (no glass Pasteur pipettes), work over disposable, absorbent paper, use disposable containers and have spill kits or decontamination materials at the ready.</w:t>
      </w:r>
    </w:p>
    <w:p w14:paraId="02D44D36" w14:textId="77777777" w:rsidR="00E43C93" w:rsidRPr="00192B8D" w:rsidRDefault="00E43C93" w:rsidP="0030003B">
      <w:pPr>
        <w:pStyle w:val="Heading4"/>
        <w:spacing w:before="0" w:line="240" w:lineRule="auto"/>
        <w:ind w:left="1440"/>
        <w:jc w:val="both"/>
        <w:rPr>
          <w:rFonts w:asciiTheme="majorHAnsi" w:eastAsia="Arial" w:hAnsiTheme="majorHAnsi" w:cs="Arial"/>
          <w:i w:val="0"/>
          <w:color w:val="000000"/>
          <w:sz w:val="20"/>
          <w:szCs w:val="20"/>
        </w:rPr>
      </w:pPr>
    </w:p>
    <w:p w14:paraId="25A2D03C" w14:textId="77777777" w:rsidR="00E43C93" w:rsidRPr="0030003B" w:rsidRDefault="001C51B4" w:rsidP="0030003B">
      <w:pPr>
        <w:pStyle w:val="Heading4"/>
        <w:spacing w:before="0" w:line="240" w:lineRule="auto"/>
        <w:jc w:val="both"/>
        <w:rPr>
          <w:rFonts w:asciiTheme="majorHAnsi" w:eastAsia="Arial" w:hAnsiTheme="majorHAnsi" w:cs="Arial"/>
          <w:b/>
          <w:i w:val="0"/>
          <w:color w:val="000000"/>
          <w:sz w:val="24"/>
          <w:szCs w:val="24"/>
        </w:rPr>
      </w:pPr>
      <w:r w:rsidRPr="0030003B">
        <w:rPr>
          <w:rFonts w:asciiTheme="majorHAnsi" w:eastAsia="Arial" w:hAnsiTheme="majorHAnsi" w:cs="Arial"/>
          <w:b/>
          <w:i w:val="0"/>
          <w:color w:val="000000"/>
          <w:sz w:val="24"/>
          <w:szCs w:val="24"/>
        </w:rPr>
        <w:t xml:space="preserve">             Higher risk procedures:</w:t>
      </w:r>
    </w:p>
    <w:p w14:paraId="721B4970" w14:textId="77777777"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Use of aerosol or splatter-generating procedures (e.g. vortexing, grinding, centrifuging, intra-nasal inoculation of animals).</w:t>
      </w:r>
    </w:p>
    <w:p w14:paraId="1BDD5503" w14:textId="77777777"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Utilization of concentrated stocks or large quantities of toxins (vial could contain more than a LD</w:t>
      </w:r>
      <w:r w:rsidRPr="0030003B">
        <w:rPr>
          <w:rFonts w:asciiTheme="majorHAnsi" w:eastAsia="Arial" w:hAnsiTheme="majorHAnsi" w:cs="Arial"/>
          <w:color w:val="000000"/>
          <w:sz w:val="24"/>
          <w:szCs w:val="24"/>
          <w:vertAlign w:val="subscript"/>
        </w:rPr>
        <w:t>50</w:t>
      </w:r>
      <w:r w:rsidRPr="0030003B">
        <w:rPr>
          <w:rFonts w:asciiTheme="majorHAnsi" w:eastAsia="Arial" w:hAnsiTheme="majorHAnsi" w:cs="Arial"/>
          <w:color w:val="000000"/>
          <w:sz w:val="24"/>
          <w:szCs w:val="24"/>
        </w:rPr>
        <w:t xml:space="preserve"> for an average-sized person).</w:t>
      </w:r>
    </w:p>
    <w:p w14:paraId="1513095E" w14:textId="32211E28"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 xml:space="preserve">Work with powdered or </w:t>
      </w:r>
      <w:r w:rsidR="00DD21BE" w:rsidRPr="0030003B">
        <w:rPr>
          <w:rFonts w:asciiTheme="majorHAnsi" w:eastAsia="Arial" w:hAnsiTheme="majorHAnsi" w:cs="Arial"/>
          <w:color w:val="000000"/>
          <w:sz w:val="24"/>
          <w:szCs w:val="24"/>
        </w:rPr>
        <w:t>lyoph</w:t>
      </w:r>
      <w:r w:rsidR="00D609C5">
        <w:rPr>
          <w:rFonts w:asciiTheme="majorHAnsi" w:eastAsia="Arial" w:hAnsiTheme="majorHAnsi" w:cs="Arial"/>
          <w:color w:val="000000"/>
          <w:sz w:val="24"/>
          <w:szCs w:val="24"/>
        </w:rPr>
        <w:t>i</w:t>
      </w:r>
      <w:r w:rsidR="00DD21BE" w:rsidRPr="0030003B">
        <w:rPr>
          <w:rFonts w:asciiTheme="majorHAnsi" w:eastAsia="Arial" w:hAnsiTheme="majorHAnsi" w:cs="Arial"/>
          <w:color w:val="000000"/>
          <w:sz w:val="24"/>
          <w:szCs w:val="24"/>
        </w:rPr>
        <w:t>lised/</w:t>
      </w:r>
      <w:r w:rsidRPr="0030003B">
        <w:rPr>
          <w:rFonts w:asciiTheme="majorHAnsi" w:eastAsia="Arial" w:hAnsiTheme="majorHAnsi" w:cs="Arial"/>
          <w:color w:val="000000"/>
          <w:sz w:val="24"/>
          <w:szCs w:val="24"/>
        </w:rPr>
        <w:t>dried toxins: potential for inhalation and a tendency for electrostatic attachment to gloves, weighing spatulas, etc.</w:t>
      </w:r>
    </w:p>
    <w:p w14:paraId="165B143F" w14:textId="77777777"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Use of needles or sharps in experimental procedures.</w:t>
      </w:r>
    </w:p>
    <w:p w14:paraId="6E9D03EE" w14:textId="77777777"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Sealed vials that are difficult to open (glass breakage, sharp metal band).</w:t>
      </w:r>
    </w:p>
    <w:p w14:paraId="18ACB813" w14:textId="77777777"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Removal of septa may result in dispersal of concentrated powder.</w:t>
      </w:r>
    </w:p>
    <w:p w14:paraId="351E790F" w14:textId="77777777" w:rsidR="00E43C93" w:rsidRPr="0030003B" w:rsidRDefault="001C51B4">
      <w:pPr>
        <w:numPr>
          <w:ilvl w:val="0"/>
          <w:numId w:val="3"/>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color w:val="000000"/>
          <w:sz w:val="24"/>
          <w:szCs w:val="24"/>
        </w:rPr>
        <w:t>Alternatively, puncturing the septum with a needle and syringe provides potential for sharps injuries.</w:t>
      </w:r>
    </w:p>
    <w:p w14:paraId="6D170B37" w14:textId="77777777" w:rsidR="00E43C93" w:rsidRPr="00192B8D" w:rsidRDefault="00E43C93">
      <w:pPr>
        <w:spacing w:after="0" w:line="240" w:lineRule="auto"/>
        <w:jc w:val="both"/>
        <w:rPr>
          <w:rFonts w:asciiTheme="majorHAnsi" w:eastAsia="Arial" w:hAnsiTheme="majorHAnsi" w:cs="Arial"/>
          <w:b/>
          <w:sz w:val="20"/>
          <w:szCs w:val="20"/>
        </w:rPr>
      </w:pPr>
    </w:p>
    <w:p w14:paraId="281623DC" w14:textId="75B91CEE" w:rsidR="00E43C93" w:rsidRPr="0030003B" w:rsidRDefault="001C51B4" w:rsidP="0030003B">
      <w:pPr>
        <w:pStyle w:val="ListParagraph"/>
        <w:numPr>
          <w:ilvl w:val="0"/>
          <w:numId w:val="5"/>
        </w:numPr>
        <w:pBdr>
          <w:top w:val="nil"/>
          <w:left w:val="nil"/>
          <w:bottom w:val="nil"/>
          <w:right w:val="nil"/>
          <w:between w:val="nil"/>
        </w:pBdr>
        <w:spacing w:after="0" w:line="240" w:lineRule="auto"/>
        <w:ind w:left="709"/>
        <w:jc w:val="both"/>
        <w:rPr>
          <w:rFonts w:asciiTheme="majorHAnsi" w:eastAsia="Arial" w:hAnsiTheme="majorHAnsi" w:cs="Arial"/>
          <w:b/>
          <w:color w:val="000000"/>
          <w:sz w:val="24"/>
          <w:szCs w:val="24"/>
        </w:rPr>
      </w:pPr>
      <w:r w:rsidRPr="0030003B">
        <w:rPr>
          <w:rFonts w:asciiTheme="majorHAnsi" w:eastAsia="Arial" w:hAnsiTheme="majorHAnsi" w:cs="Arial"/>
          <w:b/>
          <w:color w:val="000000"/>
          <w:sz w:val="24"/>
          <w:szCs w:val="24"/>
        </w:rPr>
        <w:t xml:space="preserve">Storage of and restricted access to toxins: </w:t>
      </w:r>
      <w:r w:rsidRPr="0030003B">
        <w:rPr>
          <w:rFonts w:asciiTheme="majorHAnsi" w:eastAsia="Arial" w:hAnsiTheme="majorHAnsi" w:cs="Arial"/>
          <w:color w:val="000000"/>
          <w:sz w:val="24"/>
          <w:szCs w:val="24"/>
        </w:rPr>
        <w:t xml:space="preserve">Biological toxins can only be stored </w:t>
      </w:r>
      <w:r w:rsidR="00DD21BE" w:rsidRPr="0030003B">
        <w:rPr>
          <w:rFonts w:asciiTheme="majorHAnsi" w:eastAsia="Arial" w:hAnsiTheme="majorHAnsi" w:cs="Arial"/>
          <w:color w:val="000000"/>
          <w:sz w:val="24"/>
          <w:szCs w:val="24"/>
        </w:rPr>
        <w:t xml:space="preserve">and used under containment level 2 </w:t>
      </w:r>
      <w:r w:rsidRPr="0030003B">
        <w:rPr>
          <w:rFonts w:asciiTheme="majorHAnsi" w:eastAsia="Arial" w:hAnsiTheme="majorHAnsi" w:cs="Arial"/>
          <w:color w:val="000000"/>
          <w:sz w:val="24"/>
          <w:szCs w:val="24"/>
        </w:rPr>
        <w:t xml:space="preserve">in </w:t>
      </w:r>
      <w:r w:rsidR="00DD21BE" w:rsidRPr="0030003B">
        <w:rPr>
          <w:rFonts w:asciiTheme="majorHAnsi" w:eastAsia="Arial" w:hAnsiTheme="majorHAnsi" w:cs="Arial"/>
          <w:color w:val="000000"/>
          <w:sz w:val="24"/>
          <w:szCs w:val="24"/>
        </w:rPr>
        <w:t xml:space="preserve">limited </w:t>
      </w:r>
      <w:r w:rsidRPr="0030003B">
        <w:rPr>
          <w:rFonts w:asciiTheme="majorHAnsi" w:eastAsia="Arial" w:hAnsiTheme="majorHAnsi" w:cs="Arial"/>
          <w:color w:val="000000"/>
          <w:sz w:val="24"/>
          <w:szCs w:val="24"/>
        </w:rPr>
        <w:t>amounts by a Principal Investigator (Table 2)</w:t>
      </w:r>
      <w:r w:rsidR="00DD21BE" w:rsidRPr="0030003B">
        <w:rPr>
          <w:rFonts w:asciiTheme="majorHAnsi" w:eastAsia="Arial" w:hAnsiTheme="majorHAnsi" w:cs="Arial"/>
          <w:color w:val="000000"/>
          <w:sz w:val="24"/>
          <w:szCs w:val="24"/>
        </w:rPr>
        <w:t>.</w:t>
      </w:r>
      <w:r w:rsidRPr="0030003B">
        <w:rPr>
          <w:rFonts w:asciiTheme="majorHAnsi" w:eastAsia="Arial" w:hAnsiTheme="majorHAnsi" w:cs="Arial"/>
          <w:color w:val="000000"/>
          <w:sz w:val="24"/>
          <w:szCs w:val="24"/>
        </w:rPr>
        <w:t xml:space="preserve"> </w:t>
      </w:r>
      <w:r w:rsidR="00DD21BE" w:rsidRPr="0030003B">
        <w:rPr>
          <w:rFonts w:asciiTheme="majorHAnsi" w:eastAsia="Arial" w:hAnsiTheme="majorHAnsi" w:cs="Arial"/>
          <w:color w:val="000000"/>
          <w:sz w:val="24"/>
          <w:szCs w:val="24"/>
        </w:rPr>
        <w:t xml:space="preserve">They </w:t>
      </w:r>
      <w:r w:rsidRPr="0030003B">
        <w:rPr>
          <w:rFonts w:asciiTheme="majorHAnsi" w:eastAsia="Arial" w:hAnsiTheme="majorHAnsi" w:cs="Arial"/>
          <w:color w:val="000000"/>
          <w:sz w:val="24"/>
          <w:szCs w:val="24"/>
        </w:rPr>
        <w:t xml:space="preserve">must be secured and accounted for at all times. </w:t>
      </w:r>
      <w:r w:rsidR="00DD21BE" w:rsidRPr="0030003B">
        <w:rPr>
          <w:rFonts w:asciiTheme="majorHAnsi" w:eastAsia="Arial" w:hAnsiTheme="majorHAnsi" w:cs="Arial"/>
          <w:sz w:val="24"/>
          <w:szCs w:val="24"/>
        </w:rPr>
        <w:t>If</w:t>
      </w:r>
      <w:r w:rsidR="00DD21BE" w:rsidRPr="0030003B">
        <w:rPr>
          <w:rFonts w:asciiTheme="majorHAnsi" w:eastAsia="Arial" w:hAnsiTheme="majorHAnsi" w:cs="Arial"/>
          <w:color w:val="000000"/>
          <w:sz w:val="24"/>
          <w:szCs w:val="24"/>
        </w:rPr>
        <w:t xml:space="preserve"> larger quantities are required an additional containment process will be required by the BSC (such as BSL3). </w:t>
      </w:r>
      <w:r w:rsidRPr="0030003B">
        <w:rPr>
          <w:rFonts w:asciiTheme="majorHAnsi" w:eastAsia="Arial" w:hAnsiTheme="majorHAnsi" w:cs="Arial"/>
          <w:color w:val="000000"/>
          <w:sz w:val="24"/>
          <w:szCs w:val="24"/>
        </w:rPr>
        <w:t>Do not transfer the toxin to another Principal Investigator or another facility within DCU without notification of, and approval by the BS</w:t>
      </w:r>
      <w:r w:rsidR="002B0A15"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In all circumstances, personnel who work with the toxins that pose an acute high-risk exposure need to be on record with Occupational Health and other relevant parties to ensure </w:t>
      </w:r>
      <w:r w:rsidR="00DD21BE" w:rsidRPr="0030003B">
        <w:rPr>
          <w:rFonts w:asciiTheme="majorHAnsi" w:eastAsia="Arial" w:hAnsiTheme="majorHAnsi" w:cs="Arial"/>
          <w:color w:val="000000"/>
          <w:sz w:val="24"/>
          <w:szCs w:val="24"/>
        </w:rPr>
        <w:t xml:space="preserve">that plans are put into place for </w:t>
      </w:r>
      <w:r w:rsidRPr="0030003B">
        <w:rPr>
          <w:rFonts w:asciiTheme="majorHAnsi" w:eastAsia="Arial" w:hAnsiTheme="majorHAnsi" w:cs="Arial"/>
          <w:color w:val="000000"/>
          <w:sz w:val="24"/>
          <w:szCs w:val="24"/>
        </w:rPr>
        <w:t>a timely and effective medical response in the event of an exposure</w:t>
      </w:r>
      <w:r w:rsidR="00DD21BE" w:rsidRPr="0030003B">
        <w:rPr>
          <w:rFonts w:asciiTheme="majorHAnsi" w:eastAsia="Arial" w:hAnsiTheme="majorHAnsi" w:cs="Arial"/>
          <w:color w:val="000000"/>
          <w:sz w:val="24"/>
          <w:szCs w:val="24"/>
        </w:rPr>
        <w:t xml:space="preserve"> and that vaccination / health monitoring programs are implemented, if necessary</w:t>
      </w:r>
      <w:r w:rsidRPr="0030003B">
        <w:rPr>
          <w:rFonts w:asciiTheme="majorHAnsi" w:eastAsia="Arial" w:hAnsiTheme="majorHAnsi" w:cs="Arial"/>
          <w:color w:val="000000"/>
          <w:sz w:val="24"/>
          <w:szCs w:val="24"/>
        </w:rPr>
        <w:t xml:space="preserve">. Maintain toxins in a secure storage device (i.e., locked box in a locked storage unit or locked box in a storage unit inside a locked lab) with access restricted to personnel authorized to work with the toxin. When toxins are in use, ensure adequate signage to prevent unauthorised person from entering the area where the work is being conducted. </w:t>
      </w:r>
    </w:p>
    <w:p w14:paraId="746A7188" w14:textId="77777777" w:rsidR="00E43C93" w:rsidRPr="0030003B" w:rsidRDefault="00E43C93">
      <w:pPr>
        <w:pBdr>
          <w:top w:val="nil"/>
          <w:left w:val="nil"/>
          <w:bottom w:val="nil"/>
          <w:right w:val="nil"/>
          <w:between w:val="nil"/>
        </w:pBdr>
        <w:spacing w:after="0" w:line="240" w:lineRule="auto"/>
        <w:ind w:left="720" w:hanging="720"/>
        <w:jc w:val="both"/>
        <w:rPr>
          <w:rFonts w:asciiTheme="majorHAnsi" w:eastAsia="Arial" w:hAnsiTheme="majorHAnsi" w:cs="Arial"/>
          <w:color w:val="000000"/>
          <w:sz w:val="24"/>
          <w:szCs w:val="24"/>
        </w:rPr>
      </w:pPr>
    </w:p>
    <w:p w14:paraId="32925A9B" w14:textId="35986663" w:rsidR="00E43C93" w:rsidRPr="0030003B" w:rsidRDefault="001C51B4">
      <w:pPr>
        <w:pBdr>
          <w:top w:val="nil"/>
          <w:left w:val="nil"/>
          <w:bottom w:val="nil"/>
          <w:right w:val="nil"/>
          <w:between w:val="nil"/>
        </w:pBdr>
        <w:spacing w:after="0" w:line="240" w:lineRule="auto"/>
        <w:ind w:left="720" w:hanging="720"/>
        <w:jc w:val="both"/>
        <w:rPr>
          <w:rFonts w:asciiTheme="majorHAnsi" w:eastAsia="Arial" w:hAnsiTheme="majorHAnsi" w:cs="Arial"/>
          <w:b/>
          <w:color w:val="000000"/>
          <w:sz w:val="24"/>
          <w:szCs w:val="24"/>
        </w:rPr>
      </w:pPr>
      <w:r w:rsidRPr="0030003B">
        <w:rPr>
          <w:rFonts w:asciiTheme="majorHAnsi" w:eastAsia="Arial" w:hAnsiTheme="majorHAnsi" w:cs="Arial"/>
          <w:sz w:val="24"/>
          <w:szCs w:val="24"/>
        </w:rPr>
        <w:t xml:space="preserve">       </w:t>
      </w:r>
      <w:r w:rsidR="002C2E35">
        <w:rPr>
          <w:rFonts w:asciiTheme="majorHAnsi" w:eastAsia="Arial" w:hAnsiTheme="majorHAnsi" w:cs="Arial"/>
          <w:sz w:val="24"/>
          <w:szCs w:val="24"/>
        </w:rPr>
        <w:tab/>
      </w:r>
      <w:r w:rsidRPr="0030003B">
        <w:rPr>
          <w:rFonts w:asciiTheme="majorHAnsi" w:eastAsia="Arial" w:hAnsiTheme="majorHAnsi" w:cs="Arial"/>
          <w:color w:val="000000"/>
          <w:sz w:val="24"/>
          <w:szCs w:val="24"/>
        </w:rPr>
        <w:t xml:space="preserve">Toxins should be stored in a minimum of two layers of sturdy, leak-proof packaging with a biosafety hazard displayed on the secondary container. Display biohazard-warning labels in the designated areas or on items where toxins may be present. Only use minimal amounts of toxin when performing research procedures and track toxin usage from receipt to destruction in a secure inventory log. Report any suspicious activities or security concerns to the Biological Safety </w:t>
      </w:r>
      <w:r w:rsidR="001F1560" w:rsidRPr="0030003B">
        <w:rPr>
          <w:rFonts w:asciiTheme="majorHAnsi" w:eastAsia="Arial" w:hAnsiTheme="majorHAnsi" w:cs="Arial"/>
          <w:color w:val="000000"/>
          <w:sz w:val="24"/>
          <w:szCs w:val="24"/>
        </w:rPr>
        <w:t>Advisor</w:t>
      </w:r>
      <w:r w:rsidRPr="0030003B">
        <w:rPr>
          <w:rFonts w:asciiTheme="majorHAnsi" w:eastAsia="Arial" w:hAnsiTheme="majorHAnsi" w:cs="Arial"/>
          <w:color w:val="000000"/>
          <w:sz w:val="24"/>
          <w:szCs w:val="24"/>
        </w:rPr>
        <w:t xml:space="preserve"> and to </w:t>
      </w:r>
      <w:r w:rsidR="00192B8D" w:rsidRPr="0030003B">
        <w:rPr>
          <w:rFonts w:asciiTheme="majorHAnsi" w:eastAsia="Arial" w:hAnsiTheme="majorHAnsi" w:cs="Arial"/>
          <w:color w:val="000000"/>
          <w:sz w:val="24"/>
          <w:szCs w:val="24"/>
        </w:rPr>
        <w:t xml:space="preserve">the </w:t>
      </w:r>
      <w:r w:rsidRPr="0030003B">
        <w:rPr>
          <w:rFonts w:asciiTheme="majorHAnsi" w:eastAsia="Arial" w:hAnsiTheme="majorHAnsi" w:cs="Arial"/>
          <w:color w:val="000000"/>
          <w:sz w:val="24"/>
          <w:szCs w:val="24"/>
        </w:rPr>
        <w:t xml:space="preserve">Biological Safety Committee. To prevent stockpiling the amount permitted to be stored will be limited for selected toxins (Table 2). </w:t>
      </w:r>
    </w:p>
    <w:p w14:paraId="33AAAAE0" w14:textId="77777777" w:rsidR="00E43C93" w:rsidRPr="00192B8D" w:rsidRDefault="00E43C93">
      <w:pPr>
        <w:spacing w:after="0" w:line="240" w:lineRule="auto"/>
        <w:jc w:val="both"/>
        <w:rPr>
          <w:rFonts w:asciiTheme="majorHAnsi" w:eastAsia="Arial" w:hAnsiTheme="majorHAnsi" w:cs="Arial"/>
          <w:sz w:val="20"/>
          <w:szCs w:val="20"/>
        </w:rPr>
      </w:pPr>
    </w:p>
    <w:p w14:paraId="356A208D" w14:textId="578DAC5E" w:rsidR="00E43C93" w:rsidRPr="0030003B" w:rsidRDefault="001C51B4" w:rsidP="0030003B">
      <w:pPr>
        <w:numPr>
          <w:ilvl w:val="0"/>
          <w:numId w:val="6"/>
        </w:num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0003B">
        <w:rPr>
          <w:rFonts w:asciiTheme="majorHAnsi" w:eastAsia="Arial" w:hAnsiTheme="majorHAnsi" w:cs="Arial"/>
          <w:b/>
          <w:color w:val="000000"/>
          <w:sz w:val="24"/>
          <w:szCs w:val="24"/>
        </w:rPr>
        <w:t xml:space="preserve">Transport of Toxins: </w:t>
      </w:r>
      <w:r w:rsidRPr="0030003B">
        <w:rPr>
          <w:rFonts w:asciiTheme="majorHAnsi" w:eastAsia="Arial" w:hAnsiTheme="majorHAnsi" w:cs="Arial"/>
          <w:color w:val="000000"/>
          <w:sz w:val="24"/>
          <w:szCs w:val="24"/>
        </w:rPr>
        <w:t>No transport of toxin is permitted without consultation with the BS</w:t>
      </w:r>
      <w:r w:rsidR="001F1560"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who liaises with a Dangerous Goods Safety Advisor to ensure that transportation is compliant with the requirement of </w:t>
      </w:r>
      <w:r w:rsidR="00EC7EA4" w:rsidRPr="0030003B">
        <w:rPr>
          <w:rFonts w:asciiTheme="majorHAnsi" w:eastAsia="Arial" w:hAnsiTheme="majorHAnsi" w:cs="Arial"/>
          <w:color w:val="000000"/>
          <w:sz w:val="24"/>
          <w:szCs w:val="24"/>
        </w:rPr>
        <w:t>ADR</w:t>
      </w:r>
      <w:r w:rsidR="002C2E35">
        <w:rPr>
          <w:rFonts w:asciiTheme="majorHAnsi" w:eastAsia="Arial" w:hAnsiTheme="majorHAnsi" w:cs="Arial"/>
          <w:color w:val="000000"/>
          <w:sz w:val="24"/>
          <w:szCs w:val="24"/>
          <w:vertAlign w:val="superscript"/>
        </w:rPr>
        <w:t>6</w:t>
      </w:r>
      <w:r w:rsidR="00EC7EA4" w:rsidRPr="0030003B">
        <w:rPr>
          <w:rFonts w:asciiTheme="majorHAnsi" w:eastAsia="Arial" w:hAnsiTheme="majorHAnsi" w:cs="Arial"/>
          <w:color w:val="000000"/>
          <w:sz w:val="24"/>
          <w:szCs w:val="24"/>
        </w:rPr>
        <w:t xml:space="preserve"> </w:t>
      </w:r>
      <w:r w:rsidRPr="0030003B">
        <w:rPr>
          <w:rFonts w:asciiTheme="majorHAnsi" w:eastAsia="Arial" w:hAnsiTheme="majorHAnsi" w:cs="Arial"/>
          <w:color w:val="000000"/>
          <w:sz w:val="24"/>
          <w:szCs w:val="24"/>
        </w:rPr>
        <w:t xml:space="preserve">and or </w:t>
      </w:r>
      <w:r w:rsidR="00EC7EA4" w:rsidRPr="0030003B">
        <w:rPr>
          <w:rFonts w:asciiTheme="majorHAnsi" w:eastAsia="Arial" w:hAnsiTheme="majorHAnsi" w:cs="Arial"/>
          <w:color w:val="000000"/>
          <w:sz w:val="24"/>
          <w:szCs w:val="24"/>
        </w:rPr>
        <w:t>IATA</w:t>
      </w:r>
      <w:r w:rsidR="002C2E35">
        <w:rPr>
          <w:rFonts w:asciiTheme="majorHAnsi" w:eastAsia="Arial" w:hAnsiTheme="majorHAnsi" w:cs="Arial"/>
          <w:color w:val="000000"/>
          <w:sz w:val="24"/>
          <w:szCs w:val="24"/>
          <w:vertAlign w:val="superscript"/>
        </w:rPr>
        <w:t>7</w:t>
      </w:r>
      <w:r w:rsidR="00EC7EA4" w:rsidRPr="0030003B">
        <w:rPr>
          <w:rFonts w:asciiTheme="majorHAnsi" w:eastAsia="Arial" w:hAnsiTheme="majorHAnsi" w:cs="Arial"/>
          <w:color w:val="000000"/>
          <w:sz w:val="24"/>
          <w:szCs w:val="24"/>
        </w:rPr>
        <w:t xml:space="preserve"> </w:t>
      </w:r>
      <w:r w:rsidRPr="0030003B">
        <w:rPr>
          <w:rFonts w:asciiTheme="majorHAnsi" w:eastAsia="Arial" w:hAnsiTheme="majorHAnsi" w:cs="Arial"/>
          <w:color w:val="000000"/>
          <w:sz w:val="24"/>
          <w:szCs w:val="24"/>
        </w:rPr>
        <w:t xml:space="preserve">guidelines. Transfer of toxins </w:t>
      </w:r>
      <w:r w:rsidRPr="0030003B">
        <w:rPr>
          <w:rFonts w:asciiTheme="majorHAnsi" w:eastAsia="Arial" w:hAnsiTheme="majorHAnsi" w:cs="Arial"/>
          <w:color w:val="000000"/>
          <w:sz w:val="24"/>
          <w:szCs w:val="24"/>
        </w:rPr>
        <w:lastRenderedPageBreak/>
        <w:t>between laboratories must have BS</w:t>
      </w:r>
      <w:r w:rsidR="001F1560" w:rsidRPr="0030003B">
        <w:rPr>
          <w:rFonts w:asciiTheme="majorHAnsi" w:eastAsia="Arial" w:hAnsiTheme="majorHAnsi" w:cs="Arial"/>
          <w:color w:val="000000"/>
          <w:sz w:val="24"/>
          <w:szCs w:val="24"/>
        </w:rPr>
        <w:t>A</w:t>
      </w:r>
      <w:r w:rsidRPr="0030003B">
        <w:rPr>
          <w:rFonts w:asciiTheme="majorHAnsi" w:eastAsia="Arial" w:hAnsiTheme="majorHAnsi" w:cs="Arial"/>
          <w:color w:val="000000"/>
          <w:sz w:val="24"/>
          <w:szCs w:val="24"/>
        </w:rPr>
        <w:t xml:space="preserve"> approval and must be done when human traffic is reduced. Technical officers or reception staff must be aware of the estimated delivery date and time. </w:t>
      </w:r>
    </w:p>
    <w:p w14:paraId="436F9E82" w14:textId="77777777" w:rsidR="00E43C93" w:rsidRPr="00192B8D" w:rsidRDefault="00E43C93">
      <w:pPr>
        <w:spacing w:after="0" w:line="240" w:lineRule="auto"/>
        <w:jc w:val="both"/>
        <w:rPr>
          <w:rFonts w:asciiTheme="majorHAnsi" w:eastAsia="Arial" w:hAnsiTheme="majorHAnsi" w:cs="Arial"/>
          <w:sz w:val="20"/>
          <w:szCs w:val="20"/>
        </w:rPr>
      </w:pPr>
    </w:p>
    <w:p w14:paraId="2C20C089" w14:textId="68871D1F" w:rsidR="00E43C93" w:rsidRPr="00192B8D" w:rsidRDefault="001C51B4" w:rsidP="0030003B">
      <w:pPr>
        <w:pStyle w:val="Heading3"/>
        <w:numPr>
          <w:ilvl w:val="0"/>
          <w:numId w:val="6"/>
        </w:numPr>
        <w:shd w:val="clear" w:color="auto" w:fill="FFFFFF"/>
        <w:spacing w:after="0"/>
        <w:jc w:val="both"/>
        <w:rPr>
          <w:rFonts w:asciiTheme="majorHAnsi" w:eastAsia="Arial" w:hAnsiTheme="majorHAnsi" w:cs="Arial"/>
          <w:color w:val="000000"/>
          <w:sz w:val="20"/>
          <w:szCs w:val="20"/>
        </w:rPr>
      </w:pPr>
      <w:r w:rsidRPr="0030003B">
        <w:rPr>
          <w:rFonts w:asciiTheme="majorHAnsi" w:eastAsia="Arial" w:hAnsiTheme="majorHAnsi" w:cs="Arial"/>
          <w:sz w:val="24"/>
          <w:szCs w:val="24"/>
        </w:rPr>
        <w:t xml:space="preserve">Exposure Management: </w:t>
      </w:r>
      <w:r w:rsidRPr="0030003B">
        <w:rPr>
          <w:rFonts w:asciiTheme="majorHAnsi" w:eastAsia="Arial" w:hAnsiTheme="majorHAnsi" w:cs="Arial"/>
          <w:b w:val="0"/>
          <w:sz w:val="24"/>
          <w:szCs w:val="24"/>
        </w:rPr>
        <w:t xml:space="preserve">Each toxin will present its own unique exposure risk and an SOP dealing with aerosol, skin, wound or </w:t>
      </w:r>
      <w:r w:rsidR="00796F6D" w:rsidRPr="0030003B">
        <w:rPr>
          <w:rFonts w:asciiTheme="majorHAnsi" w:eastAsia="Arial" w:hAnsiTheme="majorHAnsi" w:cs="Arial"/>
          <w:b w:val="0"/>
          <w:sz w:val="24"/>
          <w:szCs w:val="24"/>
        </w:rPr>
        <w:t xml:space="preserve">parenteral </w:t>
      </w:r>
      <w:r w:rsidRPr="0030003B">
        <w:rPr>
          <w:rFonts w:asciiTheme="majorHAnsi" w:eastAsia="Arial" w:hAnsiTheme="majorHAnsi" w:cs="Arial"/>
          <w:b w:val="0"/>
          <w:sz w:val="24"/>
          <w:szCs w:val="24"/>
        </w:rPr>
        <w:t xml:space="preserve">exposure should be put in place including emergency planning. </w:t>
      </w:r>
      <w:r w:rsidR="00DD21BE" w:rsidRPr="0030003B">
        <w:rPr>
          <w:rFonts w:asciiTheme="majorHAnsi" w:eastAsia="Arial" w:hAnsiTheme="majorHAnsi" w:cs="Arial"/>
          <w:b w:val="0"/>
          <w:sz w:val="24"/>
          <w:szCs w:val="24"/>
        </w:rPr>
        <w:t xml:space="preserve">The </w:t>
      </w:r>
      <w:r w:rsidRPr="0030003B">
        <w:rPr>
          <w:rFonts w:asciiTheme="majorHAnsi" w:eastAsia="Arial" w:hAnsiTheme="majorHAnsi" w:cs="Arial"/>
          <w:b w:val="0"/>
          <w:sz w:val="24"/>
          <w:szCs w:val="24"/>
        </w:rPr>
        <w:t>PI must show evidence of liaison with the local accident and emergency department</w:t>
      </w:r>
      <w:r w:rsidRPr="0030003B">
        <w:rPr>
          <w:rFonts w:asciiTheme="majorHAnsi" w:eastAsia="Arial" w:hAnsiTheme="majorHAnsi" w:cs="Arial"/>
          <w:b w:val="0"/>
          <w:color w:val="538135"/>
          <w:sz w:val="24"/>
          <w:szCs w:val="24"/>
        </w:rPr>
        <w:t xml:space="preserve"> </w:t>
      </w:r>
      <w:r w:rsidRPr="0030003B">
        <w:rPr>
          <w:rFonts w:asciiTheme="majorHAnsi" w:eastAsia="Arial" w:hAnsiTheme="majorHAnsi" w:cs="Arial"/>
          <w:b w:val="0"/>
          <w:sz w:val="24"/>
          <w:szCs w:val="24"/>
        </w:rPr>
        <w:t xml:space="preserve">to make them aware of any potential hazards or risks in the event that an individual is exposed. In the event of exposure to the toxin you may need to isolate the individual or move to (or move person to) an uncontaminated area. The </w:t>
      </w:r>
      <w:r w:rsidR="00DD21BE" w:rsidRPr="0030003B">
        <w:rPr>
          <w:rFonts w:asciiTheme="majorHAnsi" w:eastAsia="Arial" w:hAnsiTheme="majorHAnsi" w:cs="Arial"/>
          <w:b w:val="0"/>
          <w:sz w:val="24"/>
          <w:szCs w:val="24"/>
        </w:rPr>
        <w:t>BSA</w:t>
      </w:r>
      <w:r w:rsidRPr="0030003B">
        <w:rPr>
          <w:rFonts w:asciiTheme="majorHAnsi" w:eastAsia="Arial" w:hAnsiTheme="majorHAnsi" w:cs="Arial"/>
          <w:b w:val="0"/>
          <w:sz w:val="24"/>
          <w:szCs w:val="24"/>
        </w:rPr>
        <w:t xml:space="preserve"> may strongly recommend </w:t>
      </w:r>
      <w:hyperlink r:id="rId7">
        <w:r w:rsidRPr="0030003B">
          <w:rPr>
            <w:rFonts w:asciiTheme="majorHAnsi" w:eastAsia="Arial" w:hAnsiTheme="majorHAnsi" w:cs="Arial"/>
            <w:b w:val="0"/>
            <w:color w:val="000000"/>
            <w:sz w:val="24"/>
            <w:szCs w:val="24"/>
          </w:rPr>
          <w:t>vaccination</w:t>
        </w:r>
      </w:hyperlink>
      <w:r w:rsidRPr="0030003B">
        <w:rPr>
          <w:rFonts w:asciiTheme="majorHAnsi" w:eastAsia="Arial" w:hAnsiTheme="majorHAnsi" w:cs="Arial"/>
          <w:b w:val="0"/>
          <w:sz w:val="24"/>
          <w:szCs w:val="24"/>
        </w:rPr>
        <w:t xml:space="preserve"> for individuals working directly with certain toxins. This decision will be based on best practice and following the advice of the </w:t>
      </w:r>
      <w:r w:rsidRPr="0030003B">
        <w:rPr>
          <w:rFonts w:asciiTheme="majorHAnsi" w:eastAsia="Arial" w:hAnsiTheme="majorHAnsi" w:cs="Arial"/>
          <w:b w:val="0"/>
          <w:color w:val="000000"/>
          <w:sz w:val="24"/>
          <w:szCs w:val="24"/>
        </w:rPr>
        <w:t>Occupational Health Nurse</w:t>
      </w:r>
      <w:r w:rsidRPr="00192B8D">
        <w:rPr>
          <w:rFonts w:asciiTheme="majorHAnsi" w:eastAsia="Arial" w:hAnsiTheme="majorHAnsi" w:cs="Arial"/>
          <w:b w:val="0"/>
          <w:color w:val="000000"/>
          <w:sz w:val="20"/>
          <w:szCs w:val="20"/>
        </w:rPr>
        <w:t>.</w:t>
      </w:r>
    </w:p>
    <w:p w14:paraId="7F872367" w14:textId="77777777" w:rsidR="00E43C93" w:rsidRPr="00192B8D" w:rsidRDefault="001C51B4">
      <w:pPr>
        <w:pStyle w:val="Heading3"/>
        <w:shd w:val="clear" w:color="auto" w:fill="FFFFFF"/>
        <w:spacing w:after="0"/>
        <w:jc w:val="both"/>
        <w:rPr>
          <w:rFonts w:asciiTheme="majorHAnsi" w:eastAsia="Arial" w:hAnsiTheme="majorHAnsi" w:cs="Arial"/>
          <w:sz w:val="20"/>
          <w:szCs w:val="20"/>
        </w:rPr>
      </w:pPr>
      <w:r w:rsidRPr="00192B8D">
        <w:rPr>
          <w:rFonts w:asciiTheme="majorHAnsi" w:eastAsia="Arial" w:hAnsiTheme="majorHAnsi" w:cs="Arial"/>
          <w:sz w:val="20"/>
          <w:szCs w:val="20"/>
        </w:rPr>
        <w:t xml:space="preserve"> </w:t>
      </w:r>
    </w:p>
    <w:p w14:paraId="63FEDBF3" w14:textId="012323D5" w:rsidR="00A05915" w:rsidRPr="0030003B" w:rsidRDefault="001C51B4" w:rsidP="0030003B">
      <w:pPr>
        <w:numPr>
          <w:ilvl w:val="0"/>
          <w:numId w:val="6"/>
        </w:num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r w:rsidRPr="0030003B">
        <w:rPr>
          <w:rFonts w:asciiTheme="majorHAnsi" w:eastAsia="Arial" w:hAnsiTheme="majorHAnsi" w:cs="Arial"/>
          <w:b/>
          <w:color w:val="000000"/>
          <w:sz w:val="24"/>
          <w:szCs w:val="24"/>
        </w:rPr>
        <w:t xml:space="preserve">Training: </w:t>
      </w:r>
      <w:r w:rsidRPr="0030003B">
        <w:rPr>
          <w:rFonts w:asciiTheme="majorHAnsi" w:eastAsia="Arial" w:hAnsiTheme="majorHAnsi" w:cs="Arial"/>
          <w:color w:val="000000"/>
          <w:sz w:val="24"/>
          <w:szCs w:val="24"/>
        </w:rPr>
        <w:t xml:space="preserve">All persons with potential exposure to toxins must be familiar with the Safety Data Sheet (SDS) supplied by the manufacturer and must also read lab-specific toxin SOPs with signed training records indicating that they understand them. SOPs will cover both experimental procedures with toxins as well as emergency procedures. </w:t>
      </w:r>
      <w:r w:rsidR="00DD21BE" w:rsidRPr="0030003B">
        <w:rPr>
          <w:rFonts w:asciiTheme="majorHAnsi" w:eastAsia="Arial" w:hAnsiTheme="majorHAnsi" w:cs="Arial"/>
          <w:color w:val="000000"/>
          <w:sz w:val="24"/>
          <w:szCs w:val="24"/>
        </w:rPr>
        <w:t>If procedures need to be updated, for example, in view of new information becoming available, SOPs must be updated and issued. Staff must read the new SOP as soon as possible and update their training records. Irrespective of whether SOPs have been updated or not, staff must re-read all SOPs at least once per year and record this in their training records.</w:t>
      </w:r>
      <w:r w:rsidRPr="0030003B">
        <w:rPr>
          <w:rFonts w:asciiTheme="majorHAnsi" w:eastAsia="Arial" w:hAnsiTheme="majorHAnsi" w:cs="Arial"/>
          <w:color w:val="000000"/>
          <w:sz w:val="24"/>
          <w:szCs w:val="24"/>
        </w:rPr>
        <w:t xml:space="preserve"> Work with toxins of biological origin should be carried out in accordance with BSL-2 or BSL-3 containment procedures. Training records for all personnel authorised to handle the toxins must be maintained and reviewed annually</w:t>
      </w:r>
      <w:r w:rsidRPr="00192B8D">
        <w:rPr>
          <w:rFonts w:asciiTheme="majorHAnsi" w:eastAsia="Arial" w:hAnsiTheme="majorHAnsi" w:cs="Arial"/>
          <w:color w:val="000000"/>
          <w:sz w:val="20"/>
          <w:szCs w:val="20"/>
        </w:rPr>
        <w:t xml:space="preserve">. </w:t>
      </w:r>
    </w:p>
    <w:p w14:paraId="31CF065F" w14:textId="77777777" w:rsidR="006978B7" w:rsidRDefault="006978B7" w:rsidP="0030003B">
      <w:pPr>
        <w:pStyle w:val="ListParagraph"/>
        <w:rPr>
          <w:rFonts w:asciiTheme="majorHAnsi" w:eastAsia="Arial" w:hAnsiTheme="majorHAnsi" w:cs="Arial"/>
          <w:b/>
          <w:color w:val="000000"/>
          <w:sz w:val="20"/>
          <w:szCs w:val="20"/>
        </w:rPr>
      </w:pPr>
    </w:p>
    <w:p w14:paraId="668ACD89"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75FBDD74"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5A6B9F6E"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6DD01533"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62CA485A"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0546843C"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7D4B959C"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57B77B21"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34FB8BC3"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312D8B76"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3B4BFC9E"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6D270F90"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0E8D032C"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52BF6C33"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14A6C9BB"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5D95BF4F"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54D91243"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269E8901"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2AFABE16"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705B19D9"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71FB7B16"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57ADF280"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473D0DEA"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0C4B95B0" w14:textId="77777777" w:rsidR="00D609C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742CC083" w14:textId="77777777" w:rsidR="00D609C5" w:rsidRPr="00A05915" w:rsidRDefault="00D609C5" w:rsidP="0030003B">
      <w:pPr>
        <w:pBdr>
          <w:top w:val="nil"/>
          <w:left w:val="nil"/>
          <w:bottom w:val="nil"/>
          <w:right w:val="nil"/>
          <w:between w:val="nil"/>
        </w:pBdr>
        <w:spacing w:after="0" w:line="240" w:lineRule="auto"/>
        <w:jc w:val="both"/>
        <w:rPr>
          <w:rFonts w:asciiTheme="majorHAnsi" w:eastAsia="Arial" w:hAnsiTheme="majorHAnsi" w:cs="Arial"/>
          <w:b/>
          <w:color w:val="000000"/>
          <w:sz w:val="20"/>
          <w:szCs w:val="20"/>
        </w:rPr>
      </w:pPr>
    </w:p>
    <w:p w14:paraId="68A9C317" w14:textId="5CC9CFA1" w:rsidR="00A05915" w:rsidRPr="0030003B" w:rsidRDefault="00A05915" w:rsidP="00A05915">
      <w:pPr>
        <w:spacing w:after="0" w:line="240" w:lineRule="auto"/>
        <w:jc w:val="both"/>
        <w:rPr>
          <w:rFonts w:asciiTheme="majorHAnsi" w:eastAsia="Arial" w:hAnsiTheme="majorHAnsi" w:cs="Arial"/>
          <w:b/>
          <w:sz w:val="24"/>
          <w:szCs w:val="24"/>
        </w:rPr>
      </w:pPr>
      <w:r w:rsidRPr="0030003B">
        <w:rPr>
          <w:rFonts w:asciiTheme="majorHAnsi" w:eastAsia="Arial" w:hAnsiTheme="majorHAnsi" w:cs="Arial"/>
          <w:b/>
          <w:sz w:val="24"/>
          <w:szCs w:val="24"/>
        </w:rPr>
        <w:lastRenderedPageBreak/>
        <w:t xml:space="preserve">Table 1: </w:t>
      </w:r>
      <w:r w:rsidR="00B406A4" w:rsidRPr="0030003B">
        <w:rPr>
          <w:rFonts w:asciiTheme="majorHAnsi" w:eastAsia="Arial" w:hAnsiTheme="majorHAnsi" w:cs="Arial"/>
          <w:b/>
          <w:sz w:val="24"/>
          <w:szCs w:val="24"/>
        </w:rPr>
        <w:t>Non-exhaustive l</w:t>
      </w:r>
      <w:r w:rsidRPr="0030003B">
        <w:rPr>
          <w:rFonts w:asciiTheme="majorHAnsi" w:eastAsia="Arial" w:hAnsiTheme="majorHAnsi" w:cs="Arial"/>
          <w:b/>
          <w:sz w:val="24"/>
          <w:szCs w:val="24"/>
        </w:rPr>
        <w:t>ist of toxins of biological origin (with LD</w:t>
      </w:r>
      <w:r w:rsidRPr="0030003B">
        <w:rPr>
          <w:rFonts w:asciiTheme="majorHAnsi" w:eastAsia="Arial" w:hAnsiTheme="majorHAnsi" w:cs="Arial"/>
          <w:b/>
          <w:sz w:val="24"/>
          <w:szCs w:val="24"/>
          <w:vertAlign w:val="subscript"/>
        </w:rPr>
        <w:t>50</w:t>
      </w:r>
      <w:r w:rsidRPr="0030003B">
        <w:rPr>
          <w:rFonts w:asciiTheme="majorHAnsi" w:eastAsia="Arial" w:hAnsiTheme="majorHAnsi" w:cs="Arial"/>
          <w:b/>
          <w:sz w:val="24"/>
          <w:szCs w:val="24"/>
        </w:rPr>
        <w:t xml:space="preserve"> data) for registration with the BSC. </w:t>
      </w:r>
    </w:p>
    <w:p w14:paraId="2D0D0C9E" w14:textId="53AE4450" w:rsidR="00A05915" w:rsidRDefault="00A05915" w:rsidP="00A05915">
      <w:pPr>
        <w:pBdr>
          <w:top w:val="nil"/>
          <w:left w:val="nil"/>
          <w:bottom w:val="nil"/>
          <w:right w:val="nil"/>
          <w:between w:val="nil"/>
        </w:pBdr>
        <w:spacing w:after="0" w:line="240" w:lineRule="auto"/>
        <w:ind w:left="720"/>
        <w:jc w:val="both"/>
        <w:rPr>
          <w:rFonts w:asciiTheme="majorHAnsi" w:eastAsia="Arial" w:hAnsiTheme="majorHAnsi" w:cs="Arial"/>
          <w:b/>
          <w:color w:val="000000"/>
          <w:sz w:val="20"/>
          <w:szCs w:val="20"/>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835"/>
        <w:gridCol w:w="1985"/>
        <w:gridCol w:w="1559"/>
      </w:tblGrid>
      <w:tr w:rsidR="006978B7" w:rsidRPr="00192B8D" w14:paraId="339FED87" w14:textId="77777777" w:rsidTr="0030003B">
        <w:tc>
          <w:tcPr>
            <w:tcW w:w="3510" w:type="dxa"/>
          </w:tcPr>
          <w:p w14:paraId="1E9ED03F" w14:textId="77777777" w:rsidR="00A05915" w:rsidRPr="0030003B" w:rsidRDefault="00A05915" w:rsidP="004A6CE0">
            <w:pPr>
              <w:jc w:val="both"/>
              <w:rPr>
                <w:rFonts w:asciiTheme="majorHAnsi" w:eastAsia="Arial" w:hAnsiTheme="majorHAnsi" w:cs="Arial"/>
                <w:b/>
              </w:rPr>
            </w:pPr>
            <w:r w:rsidRPr="0030003B">
              <w:rPr>
                <w:rFonts w:asciiTheme="majorHAnsi" w:eastAsia="Arial" w:hAnsiTheme="majorHAnsi" w:cs="Arial"/>
                <w:b/>
                <w:color w:val="000000"/>
              </w:rPr>
              <w:t>Toxin Name</w:t>
            </w:r>
          </w:p>
        </w:tc>
        <w:tc>
          <w:tcPr>
            <w:tcW w:w="2835" w:type="dxa"/>
          </w:tcPr>
          <w:p w14:paraId="4DA7C79E" w14:textId="77777777" w:rsidR="00A05915" w:rsidRPr="0030003B" w:rsidRDefault="00A05915" w:rsidP="004A6CE0">
            <w:pPr>
              <w:jc w:val="both"/>
              <w:rPr>
                <w:rFonts w:asciiTheme="majorHAnsi" w:eastAsia="Arial" w:hAnsiTheme="majorHAnsi" w:cs="Arial"/>
              </w:rPr>
            </w:pPr>
            <w:r w:rsidRPr="0030003B">
              <w:rPr>
                <w:rFonts w:asciiTheme="majorHAnsi" w:eastAsia="Arial" w:hAnsiTheme="majorHAnsi" w:cs="Arial"/>
                <w:b/>
                <w:color w:val="000000"/>
              </w:rPr>
              <w:t>Administration Route</w:t>
            </w:r>
          </w:p>
        </w:tc>
        <w:tc>
          <w:tcPr>
            <w:tcW w:w="1985" w:type="dxa"/>
          </w:tcPr>
          <w:p w14:paraId="38A1E439" w14:textId="452F43CE" w:rsidR="00A05915" w:rsidRPr="0030003B" w:rsidRDefault="00A05915">
            <w:pPr>
              <w:ind w:right="778"/>
              <w:jc w:val="both"/>
              <w:rPr>
                <w:rFonts w:asciiTheme="majorHAnsi" w:eastAsia="Arial" w:hAnsiTheme="majorHAnsi" w:cs="Arial"/>
              </w:rPr>
            </w:pPr>
            <w:r w:rsidRPr="0030003B">
              <w:rPr>
                <w:rFonts w:asciiTheme="majorHAnsi" w:eastAsia="Arial" w:hAnsiTheme="majorHAnsi" w:cs="Arial"/>
                <w:b/>
                <w:color w:val="000000"/>
              </w:rPr>
              <w:t>LD50 (</w:t>
            </w:r>
            <w:r w:rsidR="006035FC">
              <w:rPr>
                <w:rFonts w:ascii="Symbol" w:eastAsia="Arial" w:hAnsi="Symbol" w:cs="Arial"/>
                <w:b/>
                <w:color w:val="000000"/>
              </w:rPr>
              <w:t></w:t>
            </w:r>
            <w:r w:rsidRPr="0030003B">
              <w:rPr>
                <w:rFonts w:asciiTheme="majorHAnsi" w:eastAsia="Noto Sans Symbols" w:hAnsiTheme="majorHAnsi" w:cs="Noto Sans Symbols"/>
                <w:color w:val="444444"/>
              </w:rPr>
              <w:t>g</w:t>
            </w:r>
            <w:r w:rsidRPr="0030003B">
              <w:rPr>
                <w:rFonts w:asciiTheme="majorHAnsi" w:eastAsia="Arial" w:hAnsiTheme="majorHAnsi" w:cs="Arial"/>
                <w:color w:val="444444"/>
              </w:rPr>
              <w:t>/kg)</w:t>
            </w:r>
          </w:p>
        </w:tc>
        <w:tc>
          <w:tcPr>
            <w:tcW w:w="1559" w:type="dxa"/>
          </w:tcPr>
          <w:p w14:paraId="35BD20CB" w14:textId="77777777" w:rsidR="00A05915" w:rsidRPr="0030003B" w:rsidRDefault="00A05915" w:rsidP="004A6CE0">
            <w:pPr>
              <w:ind w:right="778"/>
              <w:jc w:val="both"/>
              <w:rPr>
                <w:rFonts w:asciiTheme="majorHAnsi" w:eastAsia="Arial" w:hAnsiTheme="majorHAnsi" w:cs="Arial"/>
                <w:b/>
                <w:color w:val="000000"/>
              </w:rPr>
            </w:pPr>
            <w:r w:rsidRPr="0030003B">
              <w:rPr>
                <w:rFonts w:asciiTheme="majorHAnsi" w:eastAsia="Arial" w:hAnsiTheme="majorHAnsi" w:cs="Arial"/>
                <w:b/>
                <w:color w:val="000000"/>
              </w:rPr>
              <w:t>Ref</w:t>
            </w:r>
          </w:p>
        </w:tc>
      </w:tr>
      <w:tr w:rsidR="006978B7" w:rsidRPr="00192B8D" w14:paraId="03E3052A" w14:textId="77777777" w:rsidTr="0030003B">
        <w:tc>
          <w:tcPr>
            <w:tcW w:w="3510" w:type="dxa"/>
            <w:shd w:val="clear" w:color="auto" w:fill="auto"/>
            <w:vAlign w:val="bottom"/>
          </w:tcPr>
          <w:p w14:paraId="21C438ED" w14:textId="22B0D3A1" w:rsidR="00EC7EA4" w:rsidRPr="0030003B" w:rsidRDefault="00EC7EA4" w:rsidP="004A6CE0">
            <w:pPr>
              <w:jc w:val="both"/>
              <w:rPr>
                <w:rFonts w:asciiTheme="majorHAnsi" w:eastAsia="Times New Roman" w:hAnsiTheme="majorHAnsi" w:cs="Arial"/>
                <w:b/>
                <w:color w:val="000000"/>
              </w:rPr>
            </w:pPr>
            <w:r w:rsidRPr="0030003B">
              <w:rPr>
                <w:rFonts w:asciiTheme="majorHAnsi" w:eastAsia="Times New Roman" w:hAnsiTheme="majorHAnsi" w:cs="Arial"/>
                <w:b/>
                <w:color w:val="000000"/>
              </w:rPr>
              <w:t>Abrin</w:t>
            </w:r>
          </w:p>
        </w:tc>
        <w:tc>
          <w:tcPr>
            <w:tcW w:w="2835" w:type="dxa"/>
            <w:shd w:val="clear" w:color="auto" w:fill="auto"/>
            <w:vAlign w:val="bottom"/>
          </w:tcPr>
          <w:p w14:paraId="7FC89CC2" w14:textId="41491A64" w:rsidR="00EC7EA4" w:rsidRPr="0030003B" w:rsidRDefault="002C2E35" w:rsidP="004A6CE0">
            <w:pPr>
              <w:jc w:val="both"/>
              <w:rPr>
                <w:rFonts w:asciiTheme="majorHAnsi" w:eastAsia="Times New Roman" w:hAnsiTheme="majorHAnsi" w:cs="Arial"/>
                <w:color w:val="000000"/>
              </w:rPr>
            </w:pPr>
            <w:r w:rsidRPr="0030003B">
              <w:rPr>
                <w:rFonts w:asciiTheme="majorHAnsi" w:eastAsia="Times New Roman" w:hAnsiTheme="majorHAnsi" w:cs="Arial"/>
                <w:color w:val="000000"/>
              </w:rPr>
              <w:t>oral (humans)</w:t>
            </w:r>
          </w:p>
        </w:tc>
        <w:tc>
          <w:tcPr>
            <w:tcW w:w="1985" w:type="dxa"/>
            <w:shd w:val="clear" w:color="auto" w:fill="auto"/>
          </w:tcPr>
          <w:p w14:paraId="4E32B550" w14:textId="60F6E1AB" w:rsidR="00EC7EA4" w:rsidRPr="0030003B" w:rsidRDefault="00EC7EA4" w:rsidP="004A6CE0">
            <w:pPr>
              <w:jc w:val="both"/>
              <w:rPr>
                <w:rFonts w:asciiTheme="majorHAnsi" w:eastAsia="Times New Roman" w:hAnsiTheme="majorHAnsi" w:cs="Arial"/>
                <w:color w:val="000000"/>
              </w:rPr>
            </w:pPr>
            <w:r w:rsidRPr="0030003B">
              <w:rPr>
                <w:rFonts w:asciiTheme="majorHAnsi" w:hAnsiTheme="majorHAnsi"/>
                <w:highlight w:val="white"/>
              </w:rPr>
              <w:t>0.7</w:t>
            </w:r>
          </w:p>
        </w:tc>
        <w:tc>
          <w:tcPr>
            <w:tcW w:w="1559" w:type="dxa"/>
            <w:shd w:val="clear" w:color="auto" w:fill="auto"/>
          </w:tcPr>
          <w:p w14:paraId="0A629B0D" w14:textId="2C863F07"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8</w:t>
            </w:r>
          </w:p>
        </w:tc>
      </w:tr>
      <w:tr w:rsidR="006978B7" w:rsidRPr="00192B8D" w14:paraId="31495CF5" w14:textId="77777777" w:rsidTr="0030003B">
        <w:tc>
          <w:tcPr>
            <w:tcW w:w="3510" w:type="dxa"/>
            <w:shd w:val="clear" w:color="auto" w:fill="auto"/>
            <w:vAlign w:val="bottom"/>
          </w:tcPr>
          <w:p w14:paraId="19682F75" w14:textId="77777777" w:rsidR="00EC7EA4" w:rsidRPr="0030003B" w:rsidRDefault="00EC7EA4" w:rsidP="004A6CE0">
            <w:pPr>
              <w:jc w:val="both"/>
              <w:rPr>
                <w:rFonts w:asciiTheme="majorHAnsi" w:eastAsia="Times New Roman" w:hAnsiTheme="majorHAnsi" w:cs="Arial"/>
                <w:color w:val="000000"/>
              </w:rPr>
            </w:pPr>
            <w:r w:rsidRPr="0030003B">
              <w:rPr>
                <w:rFonts w:asciiTheme="majorHAnsi" w:eastAsia="Times New Roman" w:hAnsiTheme="majorHAnsi" w:cs="Arial"/>
                <w:color w:val="000000"/>
              </w:rPr>
              <w:t>Aflatoxin B1</w:t>
            </w:r>
          </w:p>
        </w:tc>
        <w:tc>
          <w:tcPr>
            <w:tcW w:w="2835" w:type="dxa"/>
            <w:shd w:val="clear" w:color="auto" w:fill="auto"/>
            <w:vAlign w:val="bottom"/>
          </w:tcPr>
          <w:p w14:paraId="4CF1660F" w14:textId="352CBB12" w:rsidR="00EC7EA4" w:rsidRPr="0030003B" w:rsidRDefault="002C2E35" w:rsidP="004A6CE0">
            <w:pPr>
              <w:jc w:val="both"/>
              <w:rPr>
                <w:rFonts w:asciiTheme="majorHAnsi" w:eastAsia="Times New Roman" w:hAnsiTheme="majorHAnsi" w:cs="Arial"/>
                <w:color w:val="000000"/>
              </w:rPr>
            </w:pPr>
            <w:r w:rsidRPr="0030003B">
              <w:rPr>
                <w:rFonts w:asciiTheme="majorHAnsi" w:eastAsia="Times New Roman" w:hAnsiTheme="majorHAnsi" w:cs="Arial"/>
                <w:color w:val="000000"/>
              </w:rPr>
              <w:t>o</w:t>
            </w:r>
            <w:r w:rsidR="00EC7EA4" w:rsidRPr="0030003B">
              <w:rPr>
                <w:rFonts w:asciiTheme="majorHAnsi" w:eastAsia="Times New Roman" w:hAnsiTheme="majorHAnsi" w:cs="Arial"/>
                <w:color w:val="000000"/>
              </w:rPr>
              <w:t>ral (rat)</w:t>
            </w:r>
          </w:p>
        </w:tc>
        <w:tc>
          <w:tcPr>
            <w:tcW w:w="1985" w:type="dxa"/>
            <w:shd w:val="clear" w:color="auto" w:fill="auto"/>
            <w:vAlign w:val="bottom"/>
          </w:tcPr>
          <w:p w14:paraId="63E51D05" w14:textId="77777777" w:rsidR="00EC7EA4" w:rsidRPr="0030003B" w:rsidRDefault="00EC7EA4" w:rsidP="004A6CE0">
            <w:pPr>
              <w:jc w:val="both"/>
              <w:rPr>
                <w:rFonts w:asciiTheme="majorHAnsi" w:eastAsia="Times New Roman" w:hAnsiTheme="majorHAnsi" w:cs="Arial"/>
                <w:color w:val="000000"/>
              </w:rPr>
            </w:pPr>
            <w:r w:rsidRPr="0030003B">
              <w:rPr>
                <w:rFonts w:asciiTheme="majorHAnsi" w:eastAsia="Times New Roman" w:hAnsiTheme="majorHAnsi" w:cs="Arial"/>
                <w:color w:val="000000"/>
              </w:rPr>
              <w:t>7200</w:t>
            </w:r>
          </w:p>
        </w:tc>
        <w:tc>
          <w:tcPr>
            <w:tcW w:w="1559" w:type="dxa"/>
            <w:shd w:val="clear" w:color="auto" w:fill="auto"/>
          </w:tcPr>
          <w:p w14:paraId="67974545" w14:textId="10117EFA"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9</w:t>
            </w:r>
          </w:p>
        </w:tc>
      </w:tr>
      <w:tr w:rsidR="006978B7" w:rsidRPr="00192B8D" w14:paraId="1678B204" w14:textId="77777777" w:rsidTr="0030003B">
        <w:tc>
          <w:tcPr>
            <w:tcW w:w="3510" w:type="dxa"/>
            <w:shd w:val="clear" w:color="auto" w:fill="auto"/>
            <w:vAlign w:val="bottom"/>
          </w:tcPr>
          <w:p w14:paraId="667FE444" w14:textId="77777777" w:rsidR="00EC7EA4" w:rsidRPr="0030003B" w:rsidRDefault="00EC7EA4" w:rsidP="004A6CE0">
            <w:pPr>
              <w:jc w:val="both"/>
              <w:rPr>
                <w:rFonts w:asciiTheme="majorHAnsi" w:eastAsia="Arial" w:hAnsiTheme="majorHAnsi" w:cs="Arial"/>
                <w:b/>
              </w:rPr>
            </w:pPr>
            <w:r w:rsidRPr="0030003B">
              <w:rPr>
                <w:rFonts w:asciiTheme="majorHAnsi" w:eastAsia="Times New Roman" w:hAnsiTheme="majorHAnsi" w:cs="Arial"/>
                <w:color w:val="000000"/>
              </w:rPr>
              <w:t>Aflatoxin B2</w:t>
            </w:r>
          </w:p>
        </w:tc>
        <w:tc>
          <w:tcPr>
            <w:tcW w:w="2835" w:type="dxa"/>
            <w:shd w:val="clear" w:color="auto" w:fill="auto"/>
            <w:vAlign w:val="bottom"/>
          </w:tcPr>
          <w:p w14:paraId="5364E68F"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oral(duckling)</w:t>
            </w:r>
          </w:p>
        </w:tc>
        <w:tc>
          <w:tcPr>
            <w:tcW w:w="1985" w:type="dxa"/>
            <w:shd w:val="clear" w:color="auto" w:fill="auto"/>
            <w:vAlign w:val="bottom"/>
          </w:tcPr>
          <w:p w14:paraId="60EDDE54"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 xml:space="preserve">1680 </w:t>
            </w:r>
          </w:p>
        </w:tc>
        <w:tc>
          <w:tcPr>
            <w:tcW w:w="1559" w:type="dxa"/>
            <w:shd w:val="clear" w:color="auto" w:fill="auto"/>
          </w:tcPr>
          <w:p w14:paraId="20772950" w14:textId="0A4103B5"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9</w:t>
            </w:r>
          </w:p>
        </w:tc>
      </w:tr>
      <w:tr w:rsidR="006978B7" w:rsidRPr="00192B8D" w14:paraId="5E670E35" w14:textId="77777777" w:rsidTr="0030003B">
        <w:tc>
          <w:tcPr>
            <w:tcW w:w="3510" w:type="dxa"/>
            <w:shd w:val="clear" w:color="auto" w:fill="auto"/>
            <w:vAlign w:val="bottom"/>
          </w:tcPr>
          <w:p w14:paraId="2F51EFAA" w14:textId="77777777" w:rsidR="00EC7EA4" w:rsidRPr="0030003B" w:rsidRDefault="00EC7EA4" w:rsidP="004A6CE0">
            <w:pPr>
              <w:jc w:val="both"/>
              <w:rPr>
                <w:rFonts w:asciiTheme="majorHAnsi" w:eastAsia="Arial" w:hAnsiTheme="majorHAnsi" w:cs="Arial"/>
                <w:b/>
              </w:rPr>
            </w:pPr>
            <w:r w:rsidRPr="0030003B">
              <w:rPr>
                <w:rFonts w:asciiTheme="majorHAnsi" w:eastAsia="Times New Roman" w:hAnsiTheme="majorHAnsi" w:cs="Arial"/>
                <w:color w:val="000000"/>
              </w:rPr>
              <w:t>Aflatoxin M1</w:t>
            </w:r>
          </w:p>
        </w:tc>
        <w:tc>
          <w:tcPr>
            <w:tcW w:w="2835" w:type="dxa"/>
            <w:shd w:val="clear" w:color="auto" w:fill="auto"/>
            <w:vAlign w:val="bottom"/>
          </w:tcPr>
          <w:p w14:paraId="756406AD"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(mouse)</w:t>
            </w:r>
          </w:p>
        </w:tc>
        <w:tc>
          <w:tcPr>
            <w:tcW w:w="1985" w:type="dxa"/>
            <w:shd w:val="clear" w:color="auto" w:fill="auto"/>
            <w:vAlign w:val="bottom"/>
          </w:tcPr>
          <w:p w14:paraId="19610459"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 xml:space="preserve">9000 </w:t>
            </w:r>
          </w:p>
        </w:tc>
        <w:tc>
          <w:tcPr>
            <w:tcW w:w="1559" w:type="dxa"/>
            <w:shd w:val="clear" w:color="auto" w:fill="auto"/>
          </w:tcPr>
          <w:p w14:paraId="39F09A95" w14:textId="7B37E3C8"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9</w:t>
            </w:r>
          </w:p>
        </w:tc>
      </w:tr>
      <w:tr w:rsidR="006978B7" w:rsidRPr="00192B8D" w14:paraId="2A32BCC6" w14:textId="77777777" w:rsidTr="0030003B">
        <w:tc>
          <w:tcPr>
            <w:tcW w:w="3510" w:type="dxa"/>
            <w:shd w:val="clear" w:color="auto" w:fill="auto"/>
            <w:vAlign w:val="bottom"/>
          </w:tcPr>
          <w:p w14:paraId="3298FD6B" w14:textId="77777777" w:rsidR="00EC7EA4" w:rsidRPr="0030003B" w:rsidRDefault="00EC7EA4" w:rsidP="004A6CE0">
            <w:pPr>
              <w:jc w:val="both"/>
              <w:rPr>
                <w:rFonts w:asciiTheme="majorHAnsi" w:eastAsia="Arial" w:hAnsiTheme="majorHAnsi" w:cs="Arial"/>
                <w:b/>
              </w:rPr>
            </w:pPr>
            <w:r w:rsidRPr="0030003B">
              <w:rPr>
                <w:rFonts w:asciiTheme="majorHAnsi" w:eastAsia="Times New Roman" w:hAnsiTheme="majorHAnsi" w:cs="Arial"/>
                <w:color w:val="000000"/>
              </w:rPr>
              <w:t>Aflatoxin G1</w:t>
            </w:r>
          </w:p>
        </w:tc>
        <w:tc>
          <w:tcPr>
            <w:tcW w:w="2835" w:type="dxa"/>
            <w:shd w:val="clear" w:color="auto" w:fill="auto"/>
            <w:vAlign w:val="bottom"/>
          </w:tcPr>
          <w:p w14:paraId="323EB682"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(duckling)</w:t>
            </w:r>
          </w:p>
        </w:tc>
        <w:tc>
          <w:tcPr>
            <w:tcW w:w="1985" w:type="dxa"/>
            <w:shd w:val="clear" w:color="auto" w:fill="auto"/>
            <w:vAlign w:val="bottom"/>
          </w:tcPr>
          <w:p w14:paraId="2AEC5B64"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 xml:space="preserve">790 </w:t>
            </w:r>
          </w:p>
        </w:tc>
        <w:tc>
          <w:tcPr>
            <w:tcW w:w="1559" w:type="dxa"/>
            <w:shd w:val="clear" w:color="auto" w:fill="auto"/>
          </w:tcPr>
          <w:p w14:paraId="487ACDB7" w14:textId="2A2A763B"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9</w:t>
            </w:r>
          </w:p>
        </w:tc>
      </w:tr>
      <w:tr w:rsidR="006978B7" w:rsidRPr="00192B8D" w14:paraId="5F44D2FD" w14:textId="77777777" w:rsidTr="0030003B">
        <w:tc>
          <w:tcPr>
            <w:tcW w:w="3510" w:type="dxa"/>
            <w:shd w:val="clear" w:color="auto" w:fill="auto"/>
            <w:vAlign w:val="bottom"/>
          </w:tcPr>
          <w:p w14:paraId="7780C2DB" w14:textId="77777777" w:rsidR="00EC7EA4" w:rsidRPr="0030003B" w:rsidRDefault="00EC7EA4" w:rsidP="004A6CE0">
            <w:pPr>
              <w:jc w:val="both"/>
              <w:rPr>
                <w:rFonts w:asciiTheme="majorHAnsi" w:eastAsia="Arial" w:hAnsiTheme="majorHAnsi" w:cs="Arial"/>
                <w:b/>
              </w:rPr>
            </w:pPr>
            <w:r w:rsidRPr="0030003B">
              <w:rPr>
                <w:rFonts w:asciiTheme="majorHAnsi" w:eastAsia="Times New Roman" w:hAnsiTheme="majorHAnsi" w:cs="Arial"/>
                <w:color w:val="000000"/>
              </w:rPr>
              <w:t>Aflatoxin G2</w:t>
            </w:r>
          </w:p>
        </w:tc>
        <w:tc>
          <w:tcPr>
            <w:tcW w:w="2835" w:type="dxa"/>
            <w:shd w:val="clear" w:color="auto" w:fill="auto"/>
            <w:vAlign w:val="bottom"/>
          </w:tcPr>
          <w:p w14:paraId="21C03DFA"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(duckling)</w:t>
            </w:r>
          </w:p>
        </w:tc>
        <w:tc>
          <w:tcPr>
            <w:tcW w:w="1985" w:type="dxa"/>
            <w:shd w:val="clear" w:color="auto" w:fill="auto"/>
            <w:vAlign w:val="bottom"/>
          </w:tcPr>
          <w:p w14:paraId="67166161"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 xml:space="preserve">2500 </w:t>
            </w:r>
          </w:p>
        </w:tc>
        <w:tc>
          <w:tcPr>
            <w:tcW w:w="1559" w:type="dxa"/>
            <w:shd w:val="clear" w:color="auto" w:fill="auto"/>
          </w:tcPr>
          <w:p w14:paraId="60A2C3F7" w14:textId="3A06719A"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9</w:t>
            </w:r>
          </w:p>
        </w:tc>
      </w:tr>
      <w:tr w:rsidR="006978B7" w:rsidRPr="00192B8D" w14:paraId="1242DE14" w14:textId="77777777" w:rsidTr="0030003B">
        <w:tc>
          <w:tcPr>
            <w:tcW w:w="3510" w:type="dxa"/>
            <w:shd w:val="clear" w:color="auto" w:fill="auto"/>
            <w:vAlign w:val="bottom"/>
          </w:tcPr>
          <w:p w14:paraId="6E5F2234" w14:textId="77777777" w:rsidR="00EC7EA4" w:rsidRPr="0030003B" w:rsidRDefault="00EC7EA4" w:rsidP="004A6CE0">
            <w:pPr>
              <w:jc w:val="both"/>
              <w:rPr>
                <w:rFonts w:asciiTheme="majorHAnsi" w:eastAsia="Arial" w:hAnsiTheme="majorHAnsi" w:cs="Arial"/>
                <w:b/>
              </w:rPr>
            </w:pPr>
            <w:r w:rsidRPr="0030003B">
              <w:rPr>
                <w:rFonts w:asciiTheme="majorHAnsi" w:eastAsia="Times New Roman" w:hAnsiTheme="majorHAnsi" w:cs="Arial"/>
                <w:color w:val="000000"/>
              </w:rPr>
              <w:t>Azaspiracid</w:t>
            </w:r>
          </w:p>
        </w:tc>
        <w:tc>
          <w:tcPr>
            <w:tcW w:w="2835" w:type="dxa"/>
            <w:shd w:val="clear" w:color="auto" w:fill="auto"/>
            <w:vAlign w:val="bottom"/>
          </w:tcPr>
          <w:p w14:paraId="52B00D1D" w14:textId="4F36803E"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 </w:t>
            </w:r>
            <w:r w:rsidR="00874632">
              <w:rPr>
                <w:rFonts w:asciiTheme="majorHAnsi" w:eastAsia="Times New Roman" w:hAnsiTheme="majorHAnsi" w:cs="Arial"/>
                <w:color w:val="000000"/>
              </w:rPr>
              <w:t>humans</w:t>
            </w:r>
          </w:p>
        </w:tc>
        <w:tc>
          <w:tcPr>
            <w:tcW w:w="1985" w:type="dxa"/>
            <w:shd w:val="clear" w:color="auto" w:fill="auto"/>
            <w:vAlign w:val="bottom"/>
          </w:tcPr>
          <w:p w14:paraId="46F404DA" w14:textId="2440F551" w:rsidR="00EC7EA4" w:rsidRPr="0030003B" w:rsidRDefault="002C2E35">
            <w:pPr>
              <w:jc w:val="both"/>
              <w:rPr>
                <w:rFonts w:asciiTheme="majorHAnsi" w:eastAsia="Arial" w:hAnsiTheme="majorHAnsi" w:cs="Arial"/>
              </w:rPr>
            </w:pPr>
            <w:r w:rsidRPr="0030003B">
              <w:rPr>
                <w:rFonts w:asciiTheme="majorHAnsi" w:eastAsia="Times New Roman" w:hAnsiTheme="majorHAnsi" w:cs="Arial"/>
                <w:color w:val="000000"/>
              </w:rPr>
              <w:t xml:space="preserve">LOAEL 0.4-2 </w:t>
            </w:r>
            <w:r w:rsidR="006035FC">
              <w:rPr>
                <w:rFonts w:ascii="Symbol" w:eastAsia="Times New Roman" w:hAnsi="Symbol" w:cs="Arial"/>
                <w:color w:val="000000"/>
              </w:rPr>
              <w:t></w:t>
            </w:r>
            <w:r w:rsidRPr="0030003B">
              <w:rPr>
                <w:rFonts w:asciiTheme="majorHAnsi" w:eastAsia="Times New Roman" w:hAnsiTheme="majorHAnsi" w:cs="Arial"/>
                <w:color w:val="000000"/>
              </w:rPr>
              <w:t>g/kg</w:t>
            </w:r>
          </w:p>
        </w:tc>
        <w:tc>
          <w:tcPr>
            <w:tcW w:w="1559" w:type="dxa"/>
            <w:shd w:val="clear" w:color="auto" w:fill="auto"/>
          </w:tcPr>
          <w:p w14:paraId="1A6AE794" w14:textId="6B0FEC21" w:rsidR="00EC7EA4" w:rsidRPr="0030003B" w:rsidRDefault="002C2E35" w:rsidP="004A6CE0">
            <w:pPr>
              <w:jc w:val="both"/>
              <w:rPr>
                <w:rFonts w:asciiTheme="majorHAnsi" w:eastAsia="Times New Roman" w:hAnsiTheme="majorHAnsi" w:cs="Arial"/>
                <w:color w:val="000000"/>
                <w:vertAlign w:val="superscript"/>
              </w:rPr>
            </w:pPr>
            <w:r w:rsidRPr="0030003B">
              <w:rPr>
                <w:rFonts w:asciiTheme="majorHAnsi" w:eastAsia="Times New Roman" w:hAnsiTheme="majorHAnsi" w:cs="Arial"/>
                <w:color w:val="000000"/>
                <w:vertAlign w:val="superscript"/>
              </w:rPr>
              <w:t>10</w:t>
            </w:r>
          </w:p>
        </w:tc>
      </w:tr>
      <w:tr w:rsidR="006978B7" w:rsidRPr="00192B8D" w14:paraId="3266C623" w14:textId="77777777" w:rsidTr="0030003B">
        <w:tc>
          <w:tcPr>
            <w:tcW w:w="3510" w:type="dxa"/>
          </w:tcPr>
          <w:p w14:paraId="2A4E596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Aerolysin</w:t>
            </w:r>
          </w:p>
        </w:tc>
        <w:tc>
          <w:tcPr>
            <w:tcW w:w="2835" w:type="dxa"/>
          </w:tcPr>
          <w:p w14:paraId="1AC9218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31183912" w14:textId="5CE2A7AC"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7</w:t>
            </w:r>
          </w:p>
        </w:tc>
        <w:tc>
          <w:tcPr>
            <w:tcW w:w="1559" w:type="dxa"/>
          </w:tcPr>
          <w:p w14:paraId="09523924" w14:textId="7E474AB8"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4A74A9BA" w14:textId="77777777" w:rsidTr="0030003B">
        <w:tc>
          <w:tcPr>
            <w:tcW w:w="3510" w:type="dxa"/>
          </w:tcPr>
          <w:p w14:paraId="2BCBFF10"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A</w:t>
            </w:r>
          </w:p>
        </w:tc>
        <w:tc>
          <w:tcPr>
            <w:tcW w:w="2835" w:type="dxa"/>
          </w:tcPr>
          <w:p w14:paraId="4C04D43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704D2B4C" w14:textId="100A81DD"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 0.0012</w:t>
            </w:r>
          </w:p>
        </w:tc>
        <w:tc>
          <w:tcPr>
            <w:tcW w:w="1559" w:type="dxa"/>
          </w:tcPr>
          <w:p w14:paraId="5B82F818" w14:textId="7E24A910"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71A6625C" w14:textId="77777777" w:rsidTr="0030003B">
        <w:tc>
          <w:tcPr>
            <w:tcW w:w="3510" w:type="dxa"/>
          </w:tcPr>
          <w:p w14:paraId="78A02BD2"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B</w:t>
            </w:r>
          </w:p>
        </w:tc>
        <w:tc>
          <w:tcPr>
            <w:tcW w:w="2835" w:type="dxa"/>
          </w:tcPr>
          <w:p w14:paraId="33BDFCA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1A92FCD2" w14:textId="5F76CA5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 0.0012</w:t>
            </w:r>
          </w:p>
        </w:tc>
        <w:tc>
          <w:tcPr>
            <w:tcW w:w="1559" w:type="dxa"/>
          </w:tcPr>
          <w:p w14:paraId="13F9CFD2" w14:textId="6B3D4B70"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8F6CC73" w14:textId="77777777" w:rsidTr="0030003B">
        <w:tc>
          <w:tcPr>
            <w:tcW w:w="3510" w:type="dxa"/>
          </w:tcPr>
          <w:p w14:paraId="171850A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C1</w:t>
            </w:r>
          </w:p>
        </w:tc>
        <w:tc>
          <w:tcPr>
            <w:tcW w:w="2835" w:type="dxa"/>
          </w:tcPr>
          <w:p w14:paraId="1ADB83A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7256FEE6" w14:textId="2983EDBE"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0.0011 </w:t>
            </w:r>
          </w:p>
        </w:tc>
        <w:tc>
          <w:tcPr>
            <w:tcW w:w="1559" w:type="dxa"/>
          </w:tcPr>
          <w:p w14:paraId="0E7DBE36" w14:textId="454454C9"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73B5DEB" w14:textId="77777777" w:rsidTr="0030003B">
        <w:tc>
          <w:tcPr>
            <w:tcW w:w="3510" w:type="dxa"/>
          </w:tcPr>
          <w:p w14:paraId="7F0E1F6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C2</w:t>
            </w:r>
          </w:p>
        </w:tc>
        <w:tc>
          <w:tcPr>
            <w:tcW w:w="2835" w:type="dxa"/>
          </w:tcPr>
          <w:p w14:paraId="5BD7CB7F"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00A6A494" w14:textId="697576CA"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0.0012</w:t>
            </w:r>
          </w:p>
        </w:tc>
        <w:tc>
          <w:tcPr>
            <w:tcW w:w="1559" w:type="dxa"/>
          </w:tcPr>
          <w:p w14:paraId="1404624A" w14:textId="5A5B0011"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66AB875F" w14:textId="77777777" w:rsidTr="0030003B">
        <w:tc>
          <w:tcPr>
            <w:tcW w:w="3510" w:type="dxa"/>
          </w:tcPr>
          <w:p w14:paraId="0B8EC5B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D</w:t>
            </w:r>
          </w:p>
        </w:tc>
        <w:tc>
          <w:tcPr>
            <w:tcW w:w="2835" w:type="dxa"/>
          </w:tcPr>
          <w:p w14:paraId="7F43EEA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6C279E2C" w14:textId="701E8076"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0.0004 </w:t>
            </w:r>
          </w:p>
        </w:tc>
        <w:tc>
          <w:tcPr>
            <w:tcW w:w="1559" w:type="dxa"/>
          </w:tcPr>
          <w:p w14:paraId="46EBFF3C" w14:textId="5D332B79"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29E45FBF" w14:textId="77777777" w:rsidTr="0030003B">
        <w:tc>
          <w:tcPr>
            <w:tcW w:w="3510" w:type="dxa"/>
          </w:tcPr>
          <w:p w14:paraId="5D753AE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E</w:t>
            </w:r>
          </w:p>
        </w:tc>
        <w:tc>
          <w:tcPr>
            <w:tcW w:w="2835" w:type="dxa"/>
          </w:tcPr>
          <w:p w14:paraId="75617F4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w:t>
            </w:r>
          </w:p>
        </w:tc>
        <w:tc>
          <w:tcPr>
            <w:tcW w:w="1985" w:type="dxa"/>
          </w:tcPr>
          <w:p w14:paraId="385C3B41" w14:textId="1801D121"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0.0011</w:t>
            </w:r>
          </w:p>
        </w:tc>
        <w:tc>
          <w:tcPr>
            <w:tcW w:w="1559" w:type="dxa"/>
          </w:tcPr>
          <w:p w14:paraId="455A07A7" w14:textId="18C0971D"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26ECBEB" w14:textId="77777777" w:rsidTr="0030003B">
        <w:tc>
          <w:tcPr>
            <w:tcW w:w="3510" w:type="dxa"/>
          </w:tcPr>
          <w:p w14:paraId="3939E03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Botulinum Toxin F</w:t>
            </w:r>
          </w:p>
        </w:tc>
        <w:tc>
          <w:tcPr>
            <w:tcW w:w="2835" w:type="dxa"/>
          </w:tcPr>
          <w:p w14:paraId="7C5AFF1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49F9B54E" w14:textId="2F71E8E3"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0.0025 </w:t>
            </w:r>
          </w:p>
        </w:tc>
        <w:tc>
          <w:tcPr>
            <w:tcW w:w="1559" w:type="dxa"/>
          </w:tcPr>
          <w:p w14:paraId="0BAD4CFA" w14:textId="40000C87"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126F35A" w14:textId="77777777" w:rsidTr="0030003B">
        <w:tc>
          <w:tcPr>
            <w:tcW w:w="3510" w:type="dxa"/>
          </w:tcPr>
          <w:p w14:paraId="3F91B99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Β-Bungarotoxin</w:t>
            </w:r>
          </w:p>
        </w:tc>
        <w:tc>
          <w:tcPr>
            <w:tcW w:w="2835" w:type="dxa"/>
          </w:tcPr>
          <w:p w14:paraId="5489605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IP/IV</w:t>
            </w:r>
          </w:p>
        </w:tc>
        <w:tc>
          <w:tcPr>
            <w:tcW w:w="1985" w:type="dxa"/>
          </w:tcPr>
          <w:p w14:paraId="3541FA4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7.8/10</w:t>
            </w:r>
          </w:p>
        </w:tc>
        <w:tc>
          <w:tcPr>
            <w:tcW w:w="1559" w:type="dxa"/>
          </w:tcPr>
          <w:p w14:paraId="3F2BDF6B" w14:textId="5CED7C7F"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F77D779" w14:textId="77777777" w:rsidTr="0030003B">
        <w:tc>
          <w:tcPr>
            <w:tcW w:w="3510" w:type="dxa"/>
          </w:tcPr>
          <w:p w14:paraId="1E52714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Caeruleotoxin</w:t>
            </w:r>
          </w:p>
        </w:tc>
        <w:tc>
          <w:tcPr>
            <w:tcW w:w="2835" w:type="dxa"/>
          </w:tcPr>
          <w:p w14:paraId="5BCF8EDF"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44A8ED0F"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40</w:t>
            </w:r>
          </w:p>
        </w:tc>
        <w:tc>
          <w:tcPr>
            <w:tcW w:w="1559" w:type="dxa"/>
          </w:tcPr>
          <w:p w14:paraId="1F9B2F71" w14:textId="1DCDEBBB"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2E348B9B" w14:textId="77777777" w:rsidTr="0030003B">
        <w:tc>
          <w:tcPr>
            <w:tcW w:w="3510" w:type="dxa"/>
          </w:tcPr>
          <w:p w14:paraId="5391F32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Cereolysin</w:t>
            </w:r>
          </w:p>
        </w:tc>
        <w:tc>
          <w:tcPr>
            <w:tcW w:w="2835" w:type="dxa"/>
          </w:tcPr>
          <w:p w14:paraId="21291F5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41A42B17"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40</w:t>
            </w:r>
            <w:r w:rsidRPr="0030003B">
              <w:rPr>
                <w:rFonts w:asciiTheme="majorHAnsi" w:eastAsia="Arial" w:hAnsiTheme="majorHAnsi" w:cs="Arial"/>
                <w:b/>
              </w:rPr>
              <w:t>–</w:t>
            </w:r>
            <w:r w:rsidRPr="0030003B">
              <w:rPr>
                <w:rFonts w:asciiTheme="majorHAnsi" w:eastAsia="Arial" w:hAnsiTheme="majorHAnsi" w:cs="Arial"/>
              </w:rPr>
              <w:t>80</w:t>
            </w:r>
          </w:p>
        </w:tc>
        <w:tc>
          <w:tcPr>
            <w:tcW w:w="1559" w:type="dxa"/>
          </w:tcPr>
          <w:p w14:paraId="5215ED11" w14:textId="7FD9255E"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D1063FE" w14:textId="77777777" w:rsidTr="0030003B">
        <w:tc>
          <w:tcPr>
            <w:tcW w:w="3510" w:type="dxa"/>
          </w:tcPr>
          <w:p w14:paraId="30DC786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Ciguatoxin 2</w:t>
            </w:r>
          </w:p>
        </w:tc>
        <w:tc>
          <w:tcPr>
            <w:tcW w:w="2835" w:type="dxa"/>
          </w:tcPr>
          <w:p w14:paraId="1503B8A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4ACF78B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w:t>
            </w:r>
          </w:p>
        </w:tc>
        <w:tc>
          <w:tcPr>
            <w:tcW w:w="1559" w:type="dxa"/>
          </w:tcPr>
          <w:p w14:paraId="1457F2F5" w14:textId="487B8F71"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24CE9883" w14:textId="77777777" w:rsidTr="0030003B">
        <w:tc>
          <w:tcPr>
            <w:tcW w:w="3510" w:type="dxa"/>
          </w:tcPr>
          <w:p w14:paraId="48D8C99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Ciguatoxin 3</w:t>
            </w:r>
          </w:p>
        </w:tc>
        <w:tc>
          <w:tcPr>
            <w:tcW w:w="2835" w:type="dxa"/>
          </w:tcPr>
          <w:p w14:paraId="3FBA4FD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6994D3F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0.9</w:t>
            </w:r>
          </w:p>
        </w:tc>
        <w:tc>
          <w:tcPr>
            <w:tcW w:w="1559" w:type="dxa"/>
          </w:tcPr>
          <w:p w14:paraId="0D94E980" w14:textId="473ACB7A"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113AA90" w14:textId="77777777" w:rsidTr="0030003B">
        <w:tc>
          <w:tcPr>
            <w:tcW w:w="3510" w:type="dxa"/>
          </w:tcPr>
          <w:p w14:paraId="24BD983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Clostridium difficile</w:t>
            </w:r>
            <w:r w:rsidRPr="0030003B">
              <w:rPr>
                <w:rFonts w:asciiTheme="majorHAnsi" w:eastAsia="Arial" w:hAnsiTheme="majorHAnsi" w:cs="Arial"/>
              </w:rPr>
              <w:t> enterotoxin A</w:t>
            </w:r>
          </w:p>
        </w:tc>
        <w:tc>
          <w:tcPr>
            <w:tcW w:w="2835" w:type="dxa"/>
          </w:tcPr>
          <w:p w14:paraId="1885E39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63787DE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0.5</w:t>
            </w:r>
          </w:p>
        </w:tc>
        <w:tc>
          <w:tcPr>
            <w:tcW w:w="1559" w:type="dxa"/>
          </w:tcPr>
          <w:p w14:paraId="2083F326" w14:textId="359CD09A"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6EC9A16" w14:textId="77777777" w:rsidTr="0030003B">
        <w:tc>
          <w:tcPr>
            <w:tcW w:w="3510" w:type="dxa"/>
          </w:tcPr>
          <w:p w14:paraId="6A82FACD"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Clostridium perfringens</w:t>
            </w:r>
            <w:r w:rsidRPr="0030003B">
              <w:rPr>
                <w:rFonts w:asciiTheme="majorHAnsi" w:eastAsia="Arial" w:hAnsiTheme="majorHAnsi" w:cs="Arial"/>
              </w:rPr>
              <w:t> alpha toxin, lecithinase</w:t>
            </w:r>
          </w:p>
        </w:tc>
        <w:tc>
          <w:tcPr>
            <w:tcW w:w="2835" w:type="dxa"/>
          </w:tcPr>
          <w:p w14:paraId="3DDC75E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4DA4AFC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3</w:t>
            </w:r>
          </w:p>
        </w:tc>
        <w:tc>
          <w:tcPr>
            <w:tcW w:w="1559" w:type="dxa"/>
          </w:tcPr>
          <w:p w14:paraId="41F96035" w14:textId="5BFB7025"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3BEA677" w14:textId="77777777" w:rsidTr="0030003B">
        <w:tc>
          <w:tcPr>
            <w:tcW w:w="3510" w:type="dxa"/>
          </w:tcPr>
          <w:p w14:paraId="0DE006C0"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Clostridium perfringens</w:t>
            </w:r>
            <w:r w:rsidRPr="0030003B">
              <w:rPr>
                <w:rFonts w:asciiTheme="majorHAnsi" w:eastAsia="Arial" w:hAnsiTheme="majorHAnsi" w:cs="Arial"/>
              </w:rPr>
              <w:t> theta toxin, perfringolysin O</w:t>
            </w:r>
          </w:p>
        </w:tc>
        <w:tc>
          <w:tcPr>
            <w:tcW w:w="2835" w:type="dxa"/>
          </w:tcPr>
          <w:p w14:paraId="666FB58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6694350A"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13-16</w:t>
            </w:r>
          </w:p>
        </w:tc>
        <w:tc>
          <w:tcPr>
            <w:tcW w:w="1559" w:type="dxa"/>
          </w:tcPr>
          <w:p w14:paraId="5EC3AC87" w14:textId="580A313A"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65D55349" w14:textId="77777777" w:rsidTr="0030003B">
        <w:tc>
          <w:tcPr>
            <w:tcW w:w="3510" w:type="dxa"/>
          </w:tcPr>
          <w:p w14:paraId="1404DA88" w14:textId="77777777" w:rsidR="00EC7EA4" w:rsidRPr="0030003B" w:rsidRDefault="00EC7EA4" w:rsidP="004A6CE0">
            <w:pPr>
              <w:jc w:val="both"/>
              <w:rPr>
                <w:rFonts w:asciiTheme="majorHAnsi" w:eastAsia="Arial" w:hAnsiTheme="majorHAnsi" w:cs="Arial"/>
                <w:b/>
              </w:rPr>
            </w:pPr>
            <w:r w:rsidRPr="0030003B">
              <w:rPr>
                <w:rFonts w:asciiTheme="majorHAnsi" w:eastAsia="Arial" w:hAnsiTheme="majorHAnsi" w:cs="Arial"/>
                <w:b/>
                <w:i/>
              </w:rPr>
              <w:t>Clostridium perfringens</w:t>
            </w:r>
            <w:r w:rsidRPr="0030003B">
              <w:rPr>
                <w:rFonts w:asciiTheme="majorHAnsi" w:eastAsia="Arial" w:hAnsiTheme="majorHAnsi" w:cs="Arial"/>
                <w:b/>
              </w:rPr>
              <w:t> enterotoxin</w:t>
            </w:r>
          </w:p>
        </w:tc>
        <w:tc>
          <w:tcPr>
            <w:tcW w:w="2835" w:type="dxa"/>
          </w:tcPr>
          <w:p w14:paraId="194048D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5236DA69" w14:textId="1A0F6C98"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81</w:t>
            </w:r>
          </w:p>
        </w:tc>
        <w:tc>
          <w:tcPr>
            <w:tcW w:w="1559" w:type="dxa"/>
          </w:tcPr>
          <w:p w14:paraId="1D65CF7B" w14:textId="5CC5B39F"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7475F4E" w14:textId="77777777" w:rsidTr="0030003B">
        <w:tc>
          <w:tcPr>
            <w:tcW w:w="3510" w:type="dxa"/>
          </w:tcPr>
          <w:p w14:paraId="43E8FACD"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Clostridium perfringens</w:t>
            </w:r>
            <w:r w:rsidRPr="0030003B">
              <w:rPr>
                <w:rFonts w:asciiTheme="majorHAnsi" w:eastAsia="Arial" w:hAnsiTheme="majorHAnsi" w:cs="Arial"/>
              </w:rPr>
              <w:t> beta-toxin</w:t>
            </w:r>
          </w:p>
        </w:tc>
        <w:tc>
          <w:tcPr>
            <w:tcW w:w="2835" w:type="dxa"/>
          </w:tcPr>
          <w:p w14:paraId="5BEA57C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IP/IV</w:t>
            </w:r>
          </w:p>
        </w:tc>
        <w:tc>
          <w:tcPr>
            <w:tcW w:w="1985" w:type="dxa"/>
          </w:tcPr>
          <w:p w14:paraId="4837185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4.5/0.31</w:t>
            </w:r>
          </w:p>
        </w:tc>
        <w:tc>
          <w:tcPr>
            <w:tcW w:w="1559" w:type="dxa"/>
          </w:tcPr>
          <w:p w14:paraId="04AD4BF3" w14:textId="2788C1A4"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2C4D7280" w14:textId="77777777" w:rsidTr="0030003B">
        <w:tc>
          <w:tcPr>
            <w:tcW w:w="3510" w:type="dxa"/>
          </w:tcPr>
          <w:p w14:paraId="581FE56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Clostridium perfringens</w:t>
            </w:r>
            <w:r w:rsidRPr="0030003B">
              <w:rPr>
                <w:rFonts w:asciiTheme="majorHAnsi" w:eastAsia="Arial" w:hAnsiTheme="majorHAnsi" w:cs="Arial"/>
              </w:rPr>
              <w:t> delta-toxin</w:t>
            </w:r>
          </w:p>
        </w:tc>
        <w:tc>
          <w:tcPr>
            <w:tcW w:w="2835" w:type="dxa"/>
          </w:tcPr>
          <w:p w14:paraId="5AAFEDB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2A3E7A44" w14:textId="4479731D"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5</w:t>
            </w:r>
          </w:p>
        </w:tc>
        <w:tc>
          <w:tcPr>
            <w:tcW w:w="1559" w:type="dxa"/>
          </w:tcPr>
          <w:p w14:paraId="39E549D0" w14:textId="024204C4"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545D5B34" w14:textId="77777777" w:rsidTr="0030003B">
        <w:tc>
          <w:tcPr>
            <w:tcW w:w="3510" w:type="dxa"/>
          </w:tcPr>
          <w:p w14:paraId="322E6C59" w14:textId="77777777" w:rsidR="00EC7EA4" w:rsidRPr="0030003B" w:rsidRDefault="00EC7EA4" w:rsidP="004A6CE0">
            <w:pPr>
              <w:jc w:val="both"/>
              <w:rPr>
                <w:rFonts w:asciiTheme="majorHAnsi" w:eastAsia="Arial" w:hAnsiTheme="majorHAnsi" w:cs="Arial"/>
                <w:b/>
              </w:rPr>
            </w:pPr>
            <w:r w:rsidRPr="0030003B">
              <w:rPr>
                <w:rFonts w:asciiTheme="majorHAnsi" w:eastAsia="Arial" w:hAnsiTheme="majorHAnsi" w:cs="Arial"/>
                <w:b/>
                <w:i/>
              </w:rPr>
              <w:t>Clostridium perfringens</w:t>
            </w:r>
            <w:r w:rsidRPr="0030003B">
              <w:rPr>
                <w:rFonts w:asciiTheme="majorHAnsi" w:eastAsia="Arial" w:hAnsiTheme="majorHAnsi" w:cs="Arial"/>
                <w:b/>
              </w:rPr>
              <w:t> epsilon-toxin</w:t>
            </w:r>
          </w:p>
        </w:tc>
        <w:tc>
          <w:tcPr>
            <w:tcW w:w="2835" w:type="dxa"/>
          </w:tcPr>
          <w:p w14:paraId="39FF4FA0"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 </w:t>
            </w:r>
          </w:p>
        </w:tc>
        <w:tc>
          <w:tcPr>
            <w:tcW w:w="1985" w:type="dxa"/>
          </w:tcPr>
          <w:p w14:paraId="129E76EF" w14:textId="39BD95E4"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0.1</w:t>
            </w:r>
          </w:p>
        </w:tc>
        <w:tc>
          <w:tcPr>
            <w:tcW w:w="1559" w:type="dxa"/>
          </w:tcPr>
          <w:p w14:paraId="64455F13" w14:textId="392C18A2"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7FCEB33" w14:textId="77777777" w:rsidTr="0030003B">
        <w:tc>
          <w:tcPr>
            <w:tcW w:w="3510" w:type="dxa"/>
          </w:tcPr>
          <w:p w14:paraId="1C80CB0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Conotoxins</w:t>
            </w:r>
          </w:p>
        </w:tc>
        <w:tc>
          <w:tcPr>
            <w:tcW w:w="2835" w:type="dxa"/>
          </w:tcPr>
          <w:p w14:paraId="13F9D66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 </w:t>
            </w:r>
          </w:p>
        </w:tc>
        <w:tc>
          <w:tcPr>
            <w:tcW w:w="1985" w:type="dxa"/>
          </w:tcPr>
          <w:p w14:paraId="72A25DB1" w14:textId="6BB9D04C"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10-100 </w:t>
            </w:r>
          </w:p>
        </w:tc>
        <w:tc>
          <w:tcPr>
            <w:tcW w:w="1559" w:type="dxa"/>
          </w:tcPr>
          <w:p w14:paraId="59F14550" w14:textId="5278DE75"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461C9D3" w14:textId="77777777" w:rsidTr="0030003B">
        <w:tc>
          <w:tcPr>
            <w:tcW w:w="3510" w:type="dxa"/>
          </w:tcPr>
          <w:p w14:paraId="5CD7D4E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Crotoxin</w:t>
            </w:r>
          </w:p>
        </w:tc>
        <w:tc>
          <w:tcPr>
            <w:tcW w:w="2835" w:type="dxa"/>
          </w:tcPr>
          <w:p w14:paraId="5F0F5F6F"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6BCD040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82</w:t>
            </w:r>
          </w:p>
        </w:tc>
        <w:tc>
          <w:tcPr>
            <w:tcW w:w="1559" w:type="dxa"/>
          </w:tcPr>
          <w:p w14:paraId="33209786" w14:textId="01FB093F"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AE03CC3" w14:textId="77777777" w:rsidTr="0030003B">
        <w:tc>
          <w:tcPr>
            <w:tcW w:w="3510" w:type="dxa"/>
            <w:tcBorders>
              <w:top w:val="nil"/>
              <w:left w:val="single" w:sz="4" w:space="0" w:color="000000"/>
              <w:bottom w:val="single" w:sz="4" w:space="0" w:color="000000"/>
              <w:right w:val="single" w:sz="4" w:space="0" w:color="000000"/>
            </w:tcBorders>
            <w:shd w:val="clear" w:color="auto" w:fill="auto"/>
            <w:vAlign w:val="bottom"/>
          </w:tcPr>
          <w:p w14:paraId="36884479"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Deoxynivalenol</w:t>
            </w:r>
          </w:p>
        </w:tc>
        <w:tc>
          <w:tcPr>
            <w:tcW w:w="2835" w:type="dxa"/>
            <w:tcBorders>
              <w:top w:val="nil"/>
              <w:left w:val="nil"/>
              <w:bottom w:val="single" w:sz="8" w:space="0" w:color="000000"/>
              <w:right w:val="nil"/>
            </w:tcBorders>
            <w:shd w:val="clear" w:color="auto" w:fill="auto"/>
            <w:vAlign w:val="bottom"/>
          </w:tcPr>
          <w:p w14:paraId="24B79EDD"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(mouse)</w:t>
            </w:r>
          </w:p>
        </w:tc>
        <w:tc>
          <w:tcPr>
            <w:tcW w:w="1985" w:type="dxa"/>
            <w:tcBorders>
              <w:top w:val="nil"/>
              <w:left w:val="single" w:sz="4" w:space="0" w:color="auto"/>
              <w:bottom w:val="single" w:sz="4" w:space="0" w:color="auto"/>
              <w:right w:val="single" w:sz="4" w:space="0" w:color="auto"/>
            </w:tcBorders>
            <w:shd w:val="clear" w:color="auto" w:fill="auto"/>
            <w:vAlign w:val="bottom"/>
          </w:tcPr>
          <w:p w14:paraId="33565403"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46000-78000</w:t>
            </w:r>
          </w:p>
        </w:tc>
        <w:tc>
          <w:tcPr>
            <w:tcW w:w="1559" w:type="dxa"/>
            <w:tcBorders>
              <w:top w:val="nil"/>
              <w:left w:val="single" w:sz="4" w:space="0" w:color="auto"/>
              <w:bottom w:val="single" w:sz="4" w:space="0" w:color="auto"/>
              <w:right w:val="single" w:sz="4" w:space="0" w:color="auto"/>
            </w:tcBorders>
            <w:shd w:val="clear" w:color="auto" w:fill="auto"/>
          </w:tcPr>
          <w:p w14:paraId="11E1B4C2" w14:textId="169E6817" w:rsidR="00EC7EA4" w:rsidRPr="0030003B" w:rsidRDefault="002C2E35" w:rsidP="004A6CE0">
            <w:pPr>
              <w:jc w:val="both"/>
              <w:rPr>
                <w:rFonts w:ascii="Arial" w:eastAsia="Times New Roman" w:hAnsi="Arial" w:cs="Arial"/>
                <w:color w:val="000000"/>
                <w:vertAlign w:val="superscript"/>
              </w:rPr>
            </w:pPr>
            <w:r w:rsidRPr="0030003B">
              <w:rPr>
                <w:rFonts w:ascii="Arial" w:eastAsia="Times New Roman" w:hAnsi="Arial" w:cs="Arial"/>
                <w:color w:val="000000"/>
                <w:vertAlign w:val="superscript"/>
              </w:rPr>
              <w:t>12</w:t>
            </w:r>
          </w:p>
        </w:tc>
      </w:tr>
      <w:tr w:rsidR="006978B7" w:rsidRPr="00192B8D" w14:paraId="51CD9569" w14:textId="77777777" w:rsidTr="0030003B">
        <w:tc>
          <w:tcPr>
            <w:tcW w:w="3510" w:type="dxa"/>
          </w:tcPr>
          <w:p w14:paraId="2787C6DA" w14:textId="560C08A8"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Diacetoxyscirpenol (DAS)</w:t>
            </w:r>
          </w:p>
        </w:tc>
        <w:tc>
          <w:tcPr>
            <w:tcW w:w="2835" w:type="dxa"/>
          </w:tcPr>
          <w:p w14:paraId="1EE4740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3D43504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1100</w:t>
            </w:r>
          </w:p>
        </w:tc>
        <w:tc>
          <w:tcPr>
            <w:tcW w:w="1559" w:type="dxa"/>
          </w:tcPr>
          <w:p w14:paraId="5A6AE484" w14:textId="26B4FEC2"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6E9F6087" w14:textId="77777777" w:rsidTr="0030003B">
        <w:tc>
          <w:tcPr>
            <w:tcW w:w="3510" w:type="dxa"/>
          </w:tcPr>
          <w:p w14:paraId="56E9C7D7"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Diphtheria toxin</w:t>
            </w:r>
          </w:p>
        </w:tc>
        <w:tc>
          <w:tcPr>
            <w:tcW w:w="2835" w:type="dxa"/>
          </w:tcPr>
          <w:p w14:paraId="61A4761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IV/IP</w:t>
            </w:r>
          </w:p>
        </w:tc>
        <w:tc>
          <w:tcPr>
            <w:tcW w:w="1985" w:type="dxa"/>
          </w:tcPr>
          <w:p w14:paraId="7D54562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0.01/6.5</w:t>
            </w:r>
          </w:p>
        </w:tc>
        <w:tc>
          <w:tcPr>
            <w:tcW w:w="1559" w:type="dxa"/>
          </w:tcPr>
          <w:p w14:paraId="27792C25" w14:textId="089E1745"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5391B1A3" w14:textId="77777777" w:rsidTr="0030003B">
        <w:tc>
          <w:tcPr>
            <w:tcW w:w="3510" w:type="dxa"/>
            <w:tcBorders>
              <w:top w:val="nil"/>
              <w:left w:val="single" w:sz="4" w:space="0" w:color="000000"/>
              <w:bottom w:val="single" w:sz="8" w:space="0" w:color="000000"/>
              <w:right w:val="single" w:sz="4" w:space="0" w:color="000000"/>
            </w:tcBorders>
            <w:shd w:val="clear" w:color="auto" w:fill="FFFFFF" w:themeFill="background1"/>
            <w:vAlign w:val="bottom"/>
          </w:tcPr>
          <w:p w14:paraId="73471A1E"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Fumonisin B1</w:t>
            </w:r>
          </w:p>
        </w:tc>
        <w:tc>
          <w:tcPr>
            <w:tcW w:w="2835" w:type="dxa"/>
            <w:tcBorders>
              <w:top w:val="nil"/>
              <w:left w:val="nil"/>
              <w:bottom w:val="single" w:sz="8" w:space="0" w:color="000000"/>
              <w:right w:val="nil"/>
            </w:tcBorders>
            <w:shd w:val="clear" w:color="auto" w:fill="FFFFFF" w:themeFill="background1"/>
            <w:vAlign w:val="bottom"/>
          </w:tcPr>
          <w:p w14:paraId="09C1F381"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Ingestion (Cultured Tilapia)</w:t>
            </w:r>
          </w:p>
        </w:tc>
        <w:tc>
          <w:tcPr>
            <w:tcW w:w="1985" w:type="dxa"/>
            <w:tcBorders>
              <w:top w:val="nil"/>
              <w:left w:val="single" w:sz="4" w:space="0" w:color="auto"/>
              <w:bottom w:val="single" w:sz="4" w:space="0" w:color="auto"/>
              <w:right w:val="single" w:sz="4" w:space="0" w:color="auto"/>
            </w:tcBorders>
            <w:shd w:val="clear" w:color="auto" w:fill="FFFFFF" w:themeFill="background1"/>
            <w:vAlign w:val="bottom"/>
          </w:tcPr>
          <w:p w14:paraId="70A7400D"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600</w:t>
            </w:r>
          </w:p>
        </w:tc>
        <w:tc>
          <w:tcPr>
            <w:tcW w:w="1559" w:type="dxa"/>
            <w:tcBorders>
              <w:top w:val="nil"/>
              <w:left w:val="single" w:sz="4" w:space="0" w:color="auto"/>
              <w:bottom w:val="single" w:sz="4" w:space="0" w:color="auto"/>
              <w:right w:val="single" w:sz="4" w:space="0" w:color="auto"/>
            </w:tcBorders>
            <w:shd w:val="clear" w:color="auto" w:fill="FFFFFF" w:themeFill="background1"/>
          </w:tcPr>
          <w:p w14:paraId="5B5128A9" w14:textId="33EF6DC9" w:rsidR="00EC7EA4" w:rsidRPr="0030003B" w:rsidRDefault="002C2E35" w:rsidP="004A6CE0">
            <w:pPr>
              <w:jc w:val="both"/>
              <w:rPr>
                <w:rFonts w:ascii="Arial" w:eastAsia="Times New Roman" w:hAnsi="Arial" w:cs="Arial"/>
                <w:color w:val="000000"/>
                <w:vertAlign w:val="superscript"/>
              </w:rPr>
            </w:pPr>
            <w:r w:rsidRPr="0030003B">
              <w:rPr>
                <w:rFonts w:ascii="Arial" w:eastAsia="Times New Roman" w:hAnsi="Arial" w:cs="Arial"/>
                <w:color w:val="000000"/>
                <w:vertAlign w:val="superscript"/>
              </w:rPr>
              <w:t>12</w:t>
            </w:r>
          </w:p>
        </w:tc>
      </w:tr>
      <w:tr w:rsidR="006978B7" w:rsidRPr="00192B8D" w14:paraId="13F4420C" w14:textId="77777777" w:rsidTr="0030003B">
        <w:tc>
          <w:tcPr>
            <w:tcW w:w="3510" w:type="dxa"/>
          </w:tcPr>
          <w:p w14:paraId="175896A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Listeriolysin</w:t>
            </w:r>
          </w:p>
        </w:tc>
        <w:tc>
          <w:tcPr>
            <w:tcW w:w="2835" w:type="dxa"/>
          </w:tcPr>
          <w:p w14:paraId="3C994A3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5FC19C0A" w14:textId="035388F2"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3-12</w:t>
            </w:r>
          </w:p>
        </w:tc>
        <w:tc>
          <w:tcPr>
            <w:tcW w:w="1559" w:type="dxa"/>
          </w:tcPr>
          <w:p w14:paraId="218C06F9" w14:textId="36B965FC"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86DE427" w14:textId="77777777" w:rsidTr="0030003B">
        <w:tc>
          <w:tcPr>
            <w:tcW w:w="3510" w:type="dxa"/>
          </w:tcPr>
          <w:p w14:paraId="1C9673B2"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Maitotoxin</w:t>
            </w:r>
          </w:p>
        </w:tc>
        <w:tc>
          <w:tcPr>
            <w:tcW w:w="2835" w:type="dxa"/>
          </w:tcPr>
          <w:p w14:paraId="52E1230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220948DD"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0.6</w:t>
            </w:r>
          </w:p>
        </w:tc>
        <w:tc>
          <w:tcPr>
            <w:tcW w:w="1559" w:type="dxa"/>
          </w:tcPr>
          <w:p w14:paraId="593D1C27" w14:textId="018A45A0"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4239632F" w14:textId="77777777" w:rsidTr="0030003B">
        <w:tc>
          <w:tcPr>
            <w:tcW w:w="3510" w:type="dxa"/>
            <w:tcBorders>
              <w:top w:val="nil"/>
              <w:left w:val="single" w:sz="4" w:space="0" w:color="000000"/>
              <w:bottom w:val="single" w:sz="4" w:space="0" w:color="000000"/>
              <w:right w:val="single" w:sz="4" w:space="0" w:color="000000"/>
            </w:tcBorders>
            <w:shd w:val="clear" w:color="auto" w:fill="FFFFFF" w:themeFill="background1"/>
            <w:vAlign w:val="bottom"/>
          </w:tcPr>
          <w:p w14:paraId="4AD679CB"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Microcystin LR</w:t>
            </w:r>
          </w:p>
        </w:tc>
        <w:tc>
          <w:tcPr>
            <w:tcW w:w="2835" w:type="dxa"/>
            <w:tcBorders>
              <w:top w:val="nil"/>
              <w:left w:val="nil"/>
              <w:bottom w:val="single" w:sz="8" w:space="0" w:color="000000"/>
              <w:right w:val="nil"/>
            </w:tcBorders>
            <w:shd w:val="clear" w:color="auto" w:fill="FFFFFF" w:themeFill="background1"/>
            <w:vAlign w:val="bottom"/>
          </w:tcPr>
          <w:p w14:paraId="210B417B"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(mouse); IP (mouse)</w:t>
            </w:r>
          </w:p>
        </w:tc>
        <w:tc>
          <w:tcPr>
            <w:tcW w:w="1985" w:type="dxa"/>
            <w:tcBorders>
              <w:top w:val="nil"/>
              <w:left w:val="single" w:sz="4" w:space="0" w:color="auto"/>
              <w:bottom w:val="single" w:sz="4" w:space="0" w:color="auto"/>
              <w:right w:val="single" w:sz="4" w:space="0" w:color="auto"/>
            </w:tcBorders>
            <w:shd w:val="clear" w:color="auto" w:fill="FFFFFF" w:themeFill="background1"/>
            <w:vAlign w:val="bottom"/>
          </w:tcPr>
          <w:p w14:paraId="47DBD244"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5000; 32.5</w:t>
            </w:r>
          </w:p>
        </w:tc>
        <w:tc>
          <w:tcPr>
            <w:tcW w:w="1559" w:type="dxa"/>
            <w:tcBorders>
              <w:top w:val="nil"/>
              <w:left w:val="single" w:sz="4" w:space="0" w:color="auto"/>
              <w:bottom w:val="single" w:sz="4" w:space="0" w:color="auto"/>
              <w:right w:val="single" w:sz="4" w:space="0" w:color="auto"/>
            </w:tcBorders>
            <w:shd w:val="clear" w:color="auto" w:fill="FFFFFF" w:themeFill="background1"/>
          </w:tcPr>
          <w:p w14:paraId="571E5896" w14:textId="309DC3C6" w:rsidR="00EC7EA4" w:rsidRPr="0030003B" w:rsidRDefault="002C2E35" w:rsidP="004A6CE0">
            <w:pPr>
              <w:jc w:val="both"/>
              <w:rPr>
                <w:rFonts w:ascii="Arial" w:eastAsia="Times New Roman" w:hAnsi="Arial" w:cs="Arial"/>
                <w:color w:val="000000"/>
                <w:vertAlign w:val="superscript"/>
              </w:rPr>
            </w:pPr>
            <w:r w:rsidRPr="0030003B">
              <w:rPr>
                <w:rFonts w:ascii="Arial" w:eastAsia="Times New Roman" w:hAnsi="Arial" w:cs="Arial"/>
                <w:color w:val="000000"/>
                <w:vertAlign w:val="superscript"/>
              </w:rPr>
              <w:t>12</w:t>
            </w:r>
          </w:p>
        </w:tc>
      </w:tr>
      <w:tr w:rsidR="006978B7" w:rsidRPr="00192B8D" w14:paraId="7911C228" w14:textId="77777777" w:rsidTr="0030003B">
        <w:tc>
          <w:tcPr>
            <w:tcW w:w="3510" w:type="dxa"/>
          </w:tcPr>
          <w:p w14:paraId="2E9EE31C" w14:textId="77777777" w:rsidR="00EC7EA4" w:rsidRPr="0030003B" w:rsidRDefault="00EC7EA4" w:rsidP="004A6CE0">
            <w:pPr>
              <w:jc w:val="both"/>
              <w:rPr>
                <w:rFonts w:asciiTheme="majorHAnsi" w:eastAsia="Arial" w:hAnsiTheme="majorHAnsi" w:cs="Arial"/>
                <w:b/>
              </w:rPr>
            </w:pPr>
            <w:r w:rsidRPr="0030003B">
              <w:rPr>
                <w:rFonts w:asciiTheme="majorHAnsi" w:eastAsia="Arial" w:hAnsiTheme="majorHAnsi" w:cs="Arial"/>
                <w:b/>
              </w:rPr>
              <w:t>Modeccin</w:t>
            </w:r>
          </w:p>
        </w:tc>
        <w:tc>
          <w:tcPr>
            <w:tcW w:w="2835" w:type="dxa"/>
          </w:tcPr>
          <w:p w14:paraId="207B654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38E8AF1B" w14:textId="2F6C42B2"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1.3</w:t>
            </w:r>
          </w:p>
        </w:tc>
        <w:tc>
          <w:tcPr>
            <w:tcW w:w="1559" w:type="dxa"/>
          </w:tcPr>
          <w:p w14:paraId="51926AA3" w14:textId="67477BBE"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39D5F3FB" w14:textId="77777777" w:rsidTr="0030003B">
        <w:tc>
          <w:tcPr>
            <w:tcW w:w="3510" w:type="dxa"/>
          </w:tcPr>
          <w:p w14:paraId="39527BA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Nematocyst toxins</w:t>
            </w:r>
          </w:p>
        </w:tc>
        <w:tc>
          <w:tcPr>
            <w:tcW w:w="2835" w:type="dxa"/>
          </w:tcPr>
          <w:p w14:paraId="2C5EB11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47BC05F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33-70</w:t>
            </w:r>
          </w:p>
        </w:tc>
        <w:tc>
          <w:tcPr>
            <w:tcW w:w="1559" w:type="dxa"/>
          </w:tcPr>
          <w:p w14:paraId="133D82F7" w14:textId="3C631EBF"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635CDA9C" w14:textId="77777777" w:rsidTr="0030003B">
        <w:tc>
          <w:tcPr>
            <w:tcW w:w="3510" w:type="dxa"/>
          </w:tcPr>
          <w:p w14:paraId="5FFDAB2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Notexin</w:t>
            </w:r>
          </w:p>
        </w:tc>
        <w:tc>
          <w:tcPr>
            <w:tcW w:w="2835" w:type="dxa"/>
          </w:tcPr>
          <w:p w14:paraId="219B5E72"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6082F12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5</w:t>
            </w:r>
          </w:p>
        </w:tc>
        <w:tc>
          <w:tcPr>
            <w:tcW w:w="1559" w:type="dxa"/>
          </w:tcPr>
          <w:p w14:paraId="1A69AE9F" w14:textId="419F6B24"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5C82CFB1" w14:textId="77777777" w:rsidTr="0030003B">
        <w:tc>
          <w:tcPr>
            <w:tcW w:w="3510" w:type="dxa"/>
            <w:tcBorders>
              <w:top w:val="nil"/>
              <w:left w:val="single" w:sz="4" w:space="0" w:color="000000"/>
              <w:bottom w:val="single" w:sz="4" w:space="0" w:color="000000"/>
              <w:right w:val="single" w:sz="4" w:space="0" w:color="000000"/>
            </w:tcBorders>
            <w:shd w:val="clear" w:color="auto" w:fill="FFFFFF" w:themeFill="background1"/>
            <w:vAlign w:val="bottom"/>
          </w:tcPr>
          <w:p w14:paraId="7C3B6C22"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Ochratoxin A</w:t>
            </w:r>
          </w:p>
        </w:tc>
        <w:tc>
          <w:tcPr>
            <w:tcW w:w="2835" w:type="dxa"/>
            <w:tcBorders>
              <w:top w:val="single" w:sz="4" w:space="0" w:color="000000"/>
              <w:left w:val="nil"/>
              <w:bottom w:val="single" w:sz="8" w:space="0" w:color="000000"/>
              <w:right w:val="nil"/>
            </w:tcBorders>
            <w:shd w:val="clear" w:color="auto" w:fill="FFFFFF" w:themeFill="background1"/>
            <w:vAlign w:val="bottom"/>
          </w:tcPr>
          <w:p w14:paraId="0EB04FE9"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(rat)</w:t>
            </w:r>
          </w:p>
        </w:tc>
        <w:tc>
          <w:tcPr>
            <w:tcW w:w="1985" w:type="dxa"/>
            <w:tcBorders>
              <w:top w:val="nil"/>
              <w:left w:val="single" w:sz="4" w:space="0" w:color="auto"/>
              <w:bottom w:val="single" w:sz="4" w:space="0" w:color="auto"/>
              <w:right w:val="single" w:sz="4" w:space="0" w:color="auto"/>
            </w:tcBorders>
            <w:shd w:val="clear" w:color="auto" w:fill="FFFFFF" w:themeFill="background1"/>
            <w:vAlign w:val="bottom"/>
          </w:tcPr>
          <w:p w14:paraId="1CF6655A"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20000</w:t>
            </w:r>
          </w:p>
        </w:tc>
        <w:tc>
          <w:tcPr>
            <w:tcW w:w="1559" w:type="dxa"/>
            <w:tcBorders>
              <w:top w:val="nil"/>
              <w:left w:val="single" w:sz="4" w:space="0" w:color="auto"/>
              <w:bottom w:val="single" w:sz="4" w:space="0" w:color="auto"/>
              <w:right w:val="single" w:sz="4" w:space="0" w:color="auto"/>
            </w:tcBorders>
            <w:shd w:val="clear" w:color="auto" w:fill="FFFFFF" w:themeFill="background1"/>
          </w:tcPr>
          <w:p w14:paraId="339B0104" w14:textId="1BDE112F" w:rsidR="00EC7EA4" w:rsidRPr="0030003B" w:rsidRDefault="002C2E35" w:rsidP="004A6CE0">
            <w:pPr>
              <w:jc w:val="both"/>
              <w:rPr>
                <w:rFonts w:ascii="Arial" w:eastAsia="Times New Roman" w:hAnsi="Arial" w:cs="Arial"/>
                <w:color w:val="000000"/>
                <w:vertAlign w:val="superscript"/>
              </w:rPr>
            </w:pPr>
            <w:r w:rsidRPr="0030003B">
              <w:rPr>
                <w:rFonts w:ascii="Arial" w:eastAsia="Times New Roman" w:hAnsi="Arial" w:cs="Arial"/>
                <w:color w:val="000000"/>
                <w:vertAlign w:val="superscript"/>
              </w:rPr>
              <w:t>12</w:t>
            </w:r>
          </w:p>
        </w:tc>
      </w:tr>
      <w:tr w:rsidR="006978B7" w:rsidRPr="00192B8D" w14:paraId="6E35C742" w14:textId="77777777" w:rsidTr="0030003B">
        <w:tc>
          <w:tcPr>
            <w:tcW w:w="3510" w:type="dxa"/>
          </w:tcPr>
          <w:p w14:paraId="21669FF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Palytoxin</w:t>
            </w:r>
          </w:p>
        </w:tc>
        <w:tc>
          <w:tcPr>
            <w:tcW w:w="2835" w:type="dxa"/>
          </w:tcPr>
          <w:p w14:paraId="791327A2"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IV/IP</w:t>
            </w:r>
          </w:p>
        </w:tc>
        <w:tc>
          <w:tcPr>
            <w:tcW w:w="1985" w:type="dxa"/>
          </w:tcPr>
          <w:p w14:paraId="6EE4637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0.089/0.05</w:t>
            </w:r>
          </w:p>
        </w:tc>
        <w:tc>
          <w:tcPr>
            <w:tcW w:w="1559" w:type="dxa"/>
          </w:tcPr>
          <w:p w14:paraId="4AC7CDFA" w14:textId="3145E808"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58EE05DC" w14:textId="77777777" w:rsidTr="0030003B">
        <w:tc>
          <w:tcPr>
            <w:tcW w:w="3510" w:type="dxa"/>
            <w:tcBorders>
              <w:top w:val="nil"/>
              <w:left w:val="single" w:sz="4" w:space="0" w:color="000000"/>
              <w:bottom w:val="single" w:sz="4" w:space="0" w:color="000000"/>
              <w:right w:val="single" w:sz="4" w:space="0" w:color="000000"/>
            </w:tcBorders>
            <w:shd w:val="clear" w:color="auto" w:fill="FFFFFF" w:themeFill="background1"/>
            <w:vAlign w:val="bottom"/>
          </w:tcPr>
          <w:p w14:paraId="202A2E35"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lastRenderedPageBreak/>
              <w:t>Patulin</w:t>
            </w:r>
          </w:p>
        </w:tc>
        <w:tc>
          <w:tcPr>
            <w:tcW w:w="2835" w:type="dxa"/>
            <w:tcBorders>
              <w:top w:val="nil"/>
              <w:left w:val="nil"/>
              <w:bottom w:val="single" w:sz="8" w:space="0" w:color="000000"/>
              <w:right w:val="nil"/>
            </w:tcBorders>
            <w:shd w:val="clear" w:color="auto" w:fill="FFFFFF" w:themeFill="background1"/>
            <w:vAlign w:val="bottom"/>
          </w:tcPr>
          <w:p w14:paraId="0D3B6B38"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Oral (rat)</w:t>
            </w:r>
          </w:p>
        </w:tc>
        <w:tc>
          <w:tcPr>
            <w:tcW w:w="1985" w:type="dxa"/>
            <w:tcBorders>
              <w:top w:val="nil"/>
              <w:left w:val="single" w:sz="4" w:space="0" w:color="auto"/>
              <w:bottom w:val="single" w:sz="4" w:space="0" w:color="auto"/>
              <w:right w:val="single" w:sz="4" w:space="0" w:color="auto"/>
            </w:tcBorders>
            <w:shd w:val="clear" w:color="auto" w:fill="FFFFFF" w:themeFill="background1"/>
            <w:vAlign w:val="bottom"/>
          </w:tcPr>
          <w:p w14:paraId="3B8CED28" w14:textId="77777777" w:rsidR="00EC7EA4" w:rsidRPr="0030003B" w:rsidRDefault="00EC7EA4" w:rsidP="004A6CE0">
            <w:pPr>
              <w:jc w:val="both"/>
              <w:rPr>
                <w:rFonts w:asciiTheme="majorHAnsi" w:eastAsia="Arial" w:hAnsiTheme="majorHAnsi" w:cs="Arial"/>
              </w:rPr>
            </w:pPr>
            <w:r w:rsidRPr="0030003B">
              <w:rPr>
                <w:rFonts w:asciiTheme="majorHAnsi" w:eastAsia="Times New Roman" w:hAnsiTheme="majorHAnsi" w:cs="Arial"/>
                <w:color w:val="000000"/>
              </w:rPr>
              <w:t>27790</w:t>
            </w:r>
          </w:p>
        </w:tc>
        <w:tc>
          <w:tcPr>
            <w:tcW w:w="1559" w:type="dxa"/>
            <w:tcBorders>
              <w:top w:val="nil"/>
              <w:left w:val="single" w:sz="4" w:space="0" w:color="auto"/>
              <w:bottom w:val="single" w:sz="4" w:space="0" w:color="auto"/>
              <w:right w:val="single" w:sz="4" w:space="0" w:color="auto"/>
            </w:tcBorders>
            <w:shd w:val="clear" w:color="auto" w:fill="FFFFFF" w:themeFill="background1"/>
          </w:tcPr>
          <w:p w14:paraId="2872D8A5" w14:textId="61E337F9" w:rsidR="00EC7EA4" w:rsidRPr="0030003B" w:rsidRDefault="002C2E35" w:rsidP="004A6CE0">
            <w:pPr>
              <w:jc w:val="both"/>
              <w:rPr>
                <w:rFonts w:ascii="Arial" w:eastAsia="Times New Roman" w:hAnsi="Arial" w:cs="Arial"/>
                <w:color w:val="000000"/>
                <w:vertAlign w:val="superscript"/>
              </w:rPr>
            </w:pPr>
            <w:r w:rsidRPr="0030003B">
              <w:rPr>
                <w:rFonts w:ascii="Arial" w:eastAsia="Times New Roman" w:hAnsi="Arial" w:cs="Arial"/>
                <w:color w:val="000000"/>
                <w:vertAlign w:val="superscript"/>
              </w:rPr>
              <w:t>12</w:t>
            </w:r>
          </w:p>
        </w:tc>
      </w:tr>
      <w:tr w:rsidR="006978B7" w:rsidRPr="00192B8D" w14:paraId="74C5178D" w14:textId="77777777" w:rsidTr="0030003B">
        <w:tc>
          <w:tcPr>
            <w:tcW w:w="3510" w:type="dxa"/>
          </w:tcPr>
          <w:p w14:paraId="3E63B38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Pertussis toxin</w:t>
            </w:r>
          </w:p>
        </w:tc>
        <w:tc>
          <w:tcPr>
            <w:tcW w:w="2835" w:type="dxa"/>
          </w:tcPr>
          <w:p w14:paraId="11EBC78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1D52F67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18</w:t>
            </w:r>
          </w:p>
        </w:tc>
        <w:tc>
          <w:tcPr>
            <w:tcW w:w="1559" w:type="dxa"/>
          </w:tcPr>
          <w:p w14:paraId="12C6EED5" w14:textId="64E726B8"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2FF520CA" w14:textId="77777777" w:rsidTr="0030003B">
        <w:tc>
          <w:tcPr>
            <w:tcW w:w="3510" w:type="dxa"/>
          </w:tcPr>
          <w:p w14:paraId="4825629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Pneumolysin</w:t>
            </w:r>
          </w:p>
        </w:tc>
        <w:tc>
          <w:tcPr>
            <w:tcW w:w="2835" w:type="dxa"/>
          </w:tcPr>
          <w:p w14:paraId="5D43800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0193C2E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1.5</w:t>
            </w:r>
          </w:p>
        </w:tc>
        <w:tc>
          <w:tcPr>
            <w:tcW w:w="1559" w:type="dxa"/>
          </w:tcPr>
          <w:p w14:paraId="1CA98F8F" w14:textId="12C543D4"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398CF7C0" w14:textId="77777777" w:rsidTr="0030003B">
        <w:tc>
          <w:tcPr>
            <w:tcW w:w="3510" w:type="dxa"/>
          </w:tcPr>
          <w:p w14:paraId="69F7C16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Pseudomonas aeruginosa</w:t>
            </w:r>
            <w:r w:rsidRPr="0030003B">
              <w:rPr>
                <w:rFonts w:asciiTheme="majorHAnsi" w:eastAsia="Arial" w:hAnsiTheme="majorHAnsi" w:cs="Arial"/>
              </w:rPr>
              <w:t> exotoxin A</w:t>
            </w:r>
          </w:p>
        </w:tc>
        <w:tc>
          <w:tcPr>
            <w:tcW w:w="2835" w:type="dxa"/>
          </w:tcPr>
          <w:p w14:paraId="60C48B90"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IP/IV</w:t>
            </w:r>
          </w:p>
        </w:tc>
        <w:tc>
          <w:tcPr>
            <w:tcW w:w="1985" w:type="dxa"/>
          </w:tcPr>
          <w:p w14:paraId="6F2AF95D"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14/3</w:t>
            </w:r>
          </w:p>
        </w:tc>
        <w:tc>
          <w:tcPr>
            <w:tcW w:w="1559" w:type="dxa"/>
          </w:tcPr>
          <w:p w14:paraId="5EAD4DC2" w14:textId="34C7CD78"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BCC71E0" w14:textId="77777777" w:rsidTr="0030003B">
        <w:tc>
          <w:tcPr>
            <w:tcW w:w="3510" w:type="dxa"/>
          </w:tcPr>
          <w:p w14:paraId="7009464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Ricin</w:t>
            </w:r>
          </w:p>
        </w:tc>
        <w:tc>
          <w:tcPr>
            <w:tcW w:w="2835" w:type="dxa"/>
          </w:tcPr>
          <w:p w14:paraId="2EDA279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IV/IP</w:t>
            </w:r>
          </w:p>
        </w:tc>
        <w:tc>
          <w:tcPr>
            <w:tcW w:w="1985" w:type="dxa"/>
          </w:tcPr>
          <w:p w14:paraId="022D1024" w14:textId="702249EF"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2.2/1.5</w:t>
            </w:r>
          </w:p>
        </w:tc>
        <w:tc>
          <w:tcPr>
            <w:tcW w:w="1559" w:type="dxa"/>
          </w:tcPr>
          <w:p w14:paraId="15D0F179" w14:textId="6E7B51C1"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2D7AB6C7" w14:textId="77777777" w:rsidTr="0030003B">
        <w:tc>
          <w:tcPr>
            <w:tcW w:w="3510" w:type="dxa"/>
          </w:tcPr>
          <w:p w14:paraId="3D394A5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Saxitoxin</w:t>
            </w:r>
          </w:p>
        </w:tc>
        <w:tc>
          <w:tcPr>
            <w:tcW w:w="2835" w:type="dxa"/>
          </w:tcPr>
          <w:p w14:paraId="59E676C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796865F8" w14:textId="0BFC43BD"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3-9</w:t>
            </w:r>
          </w:p>
        </w:tc>
        <w:tc>
          <w:tcPr>
            <w:tcW w:w="1559" w:type="dxa"/>
          </w:tcPr>
          <w:p w14:paraId="351CD095" w14:textId="67BF6F6B"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BB6DC95" w14:textId="77777777" w:rsidTr="0030003B">
        <w:tc>
          <w:tcPr>
            <w:tcW w:w="3510" w:type="dxa"/>
          </w:tcPr>
          <w:p w14:paraId="57C2B12E"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Scaritoxin</w:t>
            </w:r>
          </w:p>
        </w:tc>
        <w:tc>
          <w:tcPr>
            <w:tcW w:w="2835" w:type="dxa"/>
          </w:tcPr>
          <w:p w14:paraId="63141716"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Pr>
          <w:p w14:paraId="14C69DF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50</w:t>
            </w:r>
          </w:p>
        </w:tc>
        <w:tc>
          <w:tcPr>
            <w:tcW w:w="1559" w:type="dxa"/>
          </w:tcPr>
          <w:p w14:paraId="22A76ABF" w14:textId="362239D5"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68054B20" w14:textId="77777777" w:rsidTr="0030003B">
        <w:tc>
          <w:tcPr>
            <w:tcW w:w="3510" w:type="dxa"/>
          </w:tcPr>
          <w:p w14:paraId="013906A4" w14:textId="77777777" w:rsidR="00EC7EA4" w:rsidRPr="0030003B" w:rsidRDefault="00EC7EA4" w:rsidP="004A6CE0">
            <w:pPr>
              <w:jc w:val="both"/>
              <w:rPr>
                <w:rFonts w:asciiTheme="majorHAnsi" w:eastAsia="Arial" w:hAnsiTheme="majorHAnsi" w:cs="Arial"/>
                <w:b/>
              </w:rPr>
            </w:pPr>
            <w:r w:rsidRPr="0030003B">
              <w:rPr>
                <w:rFonts w:asciiTheme="majorHAnsi" w:eastAsia="Arial" w:hAnsiTheme="majorHAnsi" w:cs="Arial"/>
                <w:b/>
              </w:rPr>
              <w:t>Shiga toxin</w:t>
            </w:r>
          </w:p>
        </w:tc>
        <w:tc>
          <w:tcPr>
            <w:tcW w:w="2835" w:type="dxa"/>
          </w:tcPr>
          <w:p w14:paraId="03C0722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IP/IV</w:t>
            </w:r>
          </w:p>
        </w:tc>
        <w:tc>
          <w:tcPr>
            <w:tcW w:w="1985" w:type="dxa"/>
          </w:tcPr>
          <w:p w14:paraId="08E750CE" w14:textId="5A1171AD"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 xml:space="preserve">0.25/0.0022 </w:t>
            </w:r>
          </w:p>
        </w:tc>
        <w:tc>
          <w:tcPr>
            <w:tcW w:w="1559" w:type="dxa"/>
          </w:tcPr>
          <w:p w14:paraId="2D13B4A1" w14:textId="6A42D6C2" w:rsidR="00EC7EA4" w:rsidRPr="0030003B" w:rsidRDefault="002C2E3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5FDB5D7" w14:textId="77777777" w:rsidTr="0030003B">
        <w:tc>
          <w:tcPr>
            <w:tcW w:w="3510" w:type="dxa"/>
          </w:tcPr>
          <w:p w14:paraId="2E1FF75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Shigella dysenteriae</w:t>
            </w:r>
            <w:r w:rsidRPr="0030003B">
              <w:rPr>
                <w:rFonts w:asciiTheme="majorHAnsi" w:eastAsia="Arial" w:hAnsiTheme="majorHAnsi" w:cs="Arial"/>
              </w:rPr>
              <w:t> neurotoxin</w:t>
            </w:r>
          </w:p>
        </w:tc>
        <w:tc>
          <w:tcPr>
            <w:tcW w:w="2835" w:type="dxa"/>
          </w:tcPr>
          <w:p w14:paraId="1B60DA5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IP/IV</w:t>
            </w:r>
          </w:p>
        </w:tc>
        <w:tc>
          <w:tcPr>
            <w:tcW w:w="1985" w:type="dxa"/>
          </w:tcPr>
          <w:p w14:paraId="6DA405C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1.3/0.45</w:t>
            </w:r>
          </w:p>
        </w:tc>
        <w:tc>
          <w:tcPr>
            <w:tcW w:w="1559" w:type="dxa"/>
          </w:tcPr>
          <w:p w14:paraId="487D9D05" w14:textId="2135B34F"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911D296" w14:textId="77777777" w:rsidTr="0030003B">
        <w:tc>
          <w:tcPr>
            <w:tcW w:w="3510" w:type="dxa"/>
          </w:tcPr>
          <w:p w14:paraId="4135B79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Streptolysin O</w:t>
            </w:r>
          </w:p>
        </w:tc>
        <w:tc>
          <w:tcPr>
            <w:tcW w:w="2835" w:type="dxa"/>
          </w:tcPr>
          <w:p w14:paraId="44D12ECA"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27FCDCC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8</w:t>
            </w:r>
          </w:p>
        </w:tc>
        <w:tc>
          <w:tcPr>
            <w:tcW w:w="1559" w:type="dxa"/>
          </w:tcPr>
          <w:p w14:paraId="2AAF1052" w14:textId="242CA795"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2297B52" w14:textId="77777777" w:rsidTr="0030003B">
        <w:tc>
          <w:tcPr>
            <w:tcW w:w="3510" w:type="dxa"/>
          </w:tcPr>
          <w:p w14:paraId="5BC8923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Streptolysin S</w:t>
            </w:r>
          </w:p>
        </w:tc>
        <w:tc>
          <w:tcPr>
            <w:tcW w:w="2835" w:type="dxa"/>
          </w:tcPr>
          <w:p w14:paraId="389D4981"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05199C5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25</w:t>
            </w:r>
          </w:p>
        </w:tc>
        <w:tc>
          <w:tcPr>
            <w:tcW w:w="1559" w:type="dxa"/>
          </w:tcPr>
          <w:p w14:paraId="428EFA6A" w14:textId="6025B659"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70CD269" w14:textId="77777777" w:rsidTr="0030003B">
        <w:tc>
          <w:tcPr>
            <w:tcW w:w="3510" w:type="dxa"/>
          </w:tcPr>
          <w:p w14:paraId="0C6C9EDB"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Staphylococcus aureus</w:t>
            </w:r>
            <w:r w:rsidRPr="0030003B">
              <w:rPr>
                <w:rFonts w:asciiTheme="majorHAnsi" w:eastAsia="Arial" w:hAnsiTheme="majorHAnsi" w:cs="Arial"/>
              </w:rPr>
              <w:t> alpha toxin</w:t>
            </w:r>
          </w:p>
        </w:tc>
        <w:tc>
          <w:tcPr>
            <w:tcW w:w="2835" w:type="dxa"/>
          </w:tcPr>
          <w:p w14:paraId="3E16F587"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11D60ED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0.04-0.06</w:t>
            </w:r>
          </w:p>
        </w:tc>
        <w:tc>
          <w:tcPr>
            <w:tcW w:w="1559" w:type="dxa"/>
          </w:tcPr>
          <w:p w14:paraId="5C03C0EB" w14:textId="21D16F84"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CF57A94" w14:textId="77777777" w:rsidTr="0030003B">
        <w:tc>
          <w:tcPr>
            <w:tcW w:w="3510" w:type="dxa"/>
          </w:tcPr>
          <w:p w14:paraId="61F0D438" w14:textId="36CAB0BE"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i/>
              </w:rPr>
              <w:t>Staphylococcus aureus</w:t>
            </w:r>
            <w:r w:rsidRPr="0030003B">
              <w:rPr>
                <w:rFonts w:asciiTheme="majorHAnsi" w:eastAsia="Arial" w:hAnsiTheme="majorHAnsi" w:cs="Arial"/>
                <w:b/>
              </w:rPr>
              <w:t xml:space="preserve"> enterotoxin </w:t>
            </w:r>
            <w:r w:rsidR="002C2E35" w:rsidRPr="0030003B">
              <w:rPr>
                <w:rFonts w:asciiTheme="majorHAnsi" w:eastAsia="Arial" w:hAnsiTheme="majorHAnsi" w:cs="Arial"/>
                <w:b/>
              </w:rPr>
              <w:t>A,</w:t>
            </w:r>
            <w:r w:rsidRPr="0030003B">
              <w:rPr>
                <w:rFonts w:asciiTheme="majorHAnsi" w:eastAsia="Arial" w:hAnsiTheme="majorHAnsi" w:cs="Arial"/>
                <w:b/>
              </w:rPr>
              <w:t>B</w:t>
            </w:r>
            <w:r w:rsidR="002C2E35" w:rsidRPr="0030003B">
              <w:rPr>
                <w:rFonts w:asciiTheme="majorHAnsi" w:eastAsia="Arial" w:hAnsiTheme="majorHAnsi" w:cs="Arial"/>
                <w:b/>
              </w:rPr>
              <w:t>,C,D,E</w:t>
            </w:r>
          </w:p>
        </w:tc>
        <w:tc>
          <w:tcPr>
            <w:tcW w:w="2835" w:type="dxa"/>
          </w:tcPr>
          <w:p w14:paraId="6F0A4C8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792684E5" w14:textId="7AAFE61A"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2</w:t>
            </w:r>
            <w:r w:rsidR="000A1CE5" w:rsidRPr="0030003B">
              <w:rPr>
                <w:rFonts w:asciiTheme="majorHAnsi" w:eastAsia="Arial" w:hAnsiTheme="majorHAnsi" w:cs="Arial"/>
              </w:rPr>
              <w:t>5-1333</w:t>
            </w:r>
          </w:p>
        </w:tc>
        <w:tc>
          <w:tcPr>
            <w:tcW w:w="1559" w:type="dxa"/>
          </w:tcPr>
          <w:p w14:paraId="55C54BB0" w14:textId="4EBB95E2"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13</w:t>
            </w:r>
          </w:p>
        </w:tc>
      </w:tr>
      <w:tr w:rsidR="006978B7" w:rsidRPr="00192B8D" w14:paraId="52F1F17A" w14:textId="77777777" w:rsidTr="0030003B">
        <w:tc>
          <w:tcPr>
            <w:tcW w:w="3510" w:type="dxa"/>
            <w:shd w:val="clear" w:color="auto" w:fill="FFFFFF" w:themeFill="background1"/>
          </w:tcPr>
          <w:p w14:paraId="3F428763" w14:textId="491B7AC4"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T-2 toxin</w:t>
            </w:r>
          </w:p>
        </w:tc>
        <w:tc>
          <w:tcPr>
            <w:tcW w:w="2835" w:type="dxa"/>
            <w:shd w:val="clear" w:color="auto" w:fill="FFFFFF" w:themeFill="background1"/>
          </w:tcPr>
          <w:p w14:paraId="7650B4E2"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shd w:val="clear" w:color="auto" w:fill="FFFFFF" w:themeFill="background1"/>
          </w:tcPr>
          <w:p w14:paraId="11382CBA"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1000</w:t>
            </w:r>
          </w:p>
        </w:tc>
        <w:tc>
          <w:tcPr>
            <w:tcW w:w="1559" w:type="dxa"/>
            <w:shd w:val="clear" w:color="auto" w:fill="FFFFFF" w:themeFill="background1"/>
          </w:tcPr>
          <w:p w14:paraId="3318A154" w14:textId="3E418CD7"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4E75E61B" w14:textId="77777777" w:rsidTr="0030003B">
        <w:tc>
          <w:tcPr>
            <w:tcW w:w="3510" w:type="dxa"/>
          </w:tcPr>
          <w:p w14:paraId="26C9A69F"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Taipoxin</w:t>
            </w:r>
          </w:p>
        </w:tc>
        <w:tc>
          <w:tcPr>
            <w:tcW w:w="2835" w:type="dxa"/>
          </w:tcPr>
          <w:p w14:paraId="2109D850"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11BC3188"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2</w:t>
            </w:r>
          </w:p>
        </w:tc>
        <w:tc>
          <w:tcPr>
            <w:tcW w:w="1559" w:type="dxa"/>
          </w:tcPr>
          <w:p w14:paraId="7BC4F848" w14:textId="73C4F390"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73DBFD04" w14:textId="77777777" w:rsidTr="0030003B">
        <w:tc>
          <w:tcPr>
            <w:tcW w:w="3510" w:type="dxa"/>
          </w:tcPr>
          <w:p w14:paraId="1C096EB4"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Tetanus toxin</w:t>
            </w:r>
          </w:p>
        </w:tc>
        <w:tc>
          <w:tcPr>
            <w:tcW w:w="2835" w:type="dxa"/>
          </w:tcPr>
          <w:p w14:paraId="30E8C183" w14:textId="65C0C4E2" w:rsidR="00EC7EA4" w:rsidRPr="0030003B" w:rsidRDefault="000A1CE5" w:rsidP="004A6CE0">
            <w:pPr>
              <w:jc w:val="both"/>
              <w:rPr>
                <w:rFonts w:asciiTheme="majorHAnsi" w:eastAsia="Arial" w:hAnsiTheme="majorHAnsi" w:cs="Arial"/>
              </w:rPr>
            </w:pPr>
            <w:r w:rsidRPr="0030003B">
              <w:rPr>
                <w:rFonts w:asciiTheme="majorHAnsi" w:eastAsia="Arial" w:hAnsiTheme="majorHAnsi" w:cs="Arial"/>
              </w:rPr>
              <w:t>SC</w:t>
            </w:r>
          </w:p>
        </w:tc>
        <w:tc>
          <w:tcPr>
            <w:tcW w:w="1985" w:type="dxa"/>
          </w:tcPr>
          <w:p w14:paraId="6C549B6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0.003</w:t>
            </w:r>
          </w:p>
        </w:tc>
        <w:tc>
          <w:tcPr>
            <w:tcW w:w="1559" w:type="dxa"/>
          </w:tcPr>
          <w:p w14:paraId="04DB8077" w14:textId="2F4E0FC2"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7EC2CB91" w14:textId="77777777" w:rsidTr="0030003B">
        <w:tc>
          <w:tcPr>
            <w:tcW w:w="3510" w:type="dxa"/>
          </w:tcPr>
          <w:p w14:paraId="59866D9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b/>
              </w:rPr>
              <w:t>Tetrodotoxin</w:t>
            </w:r>
          </w:p>
        </w:tc>
        <w:tc>
          <w:tcPr>
            <w:tcW w:w="2835" w:type="dxa"/>
          </w:tcPr>
          <w:p w14:paraId="15277D32"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IV/IP</w:t>
            </w:r>
          </w:p>
        </w:tc>
        <w:tc>
          <w:tcPr>
            <w:tcW w:w="1985" w:type="dxa"/>
          </w:tcPr>
          <w:p w14:paraId="26FAAF3F" w14:textId="60BF506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8</w:t>
            </w:r>
          </w:p>
        </w:tc>
        <w:tc>
          <w:tcPr>
            <w:tcW w:w="1559" w:type="dxa"/>
          </w:tcPr>
          <w:p w14:paraId="7A21D3AF" w14:textId="267C71D6"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1D604AA9" w14:textId="77777777" w:rsidTr="0030003B">
        <w:tc>
          <w:tcPr>
            <w:tcW w:w="3510" w:type="dxa"/>
          </w:tcPr>
          <w:p w14:paraId="12088891" w14:textId="77777777" w:rsidR="00EC7EA4" w:rsidRPr="0030003B" w:rsidRDefault="00EC7EA4" w:rsidP="004A6CE0">
            <w:pPr>
              <w:jc w:val="both"/>
              <w:rPr>
                <w:rFonts w:asciiTheme="majorHAnsi" w:eastAsia="Arial" w:hAnsiTheme="majorHAnsi" w:cs="Arial"/>
                <w:b/>
              </w:rPr>
            </w:pPr>
            <w:r w:rsidRPr="0030003B">
              <w:rPr>
                <w:rFonts w:asciiTheme="majorHAnsi" w:eastAsia="Arial" w:hAnsiTheme="majorHAnsi" w:cs="Arial"/>
                <w:b/>
              </w:rPr>
              <w:t>Viscumin</w:t>
            </w:r>
          </w:p>
        </w:tc>
        <w:tc>
          <w:tcPr>
            <w:tcW w:w="2835" w:type="dxa"/>
          </w:tcPr>
          <w:p w14:paraId="6C6BE523"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Pr>
          <w:p w14:paraId="02424DFB" w14:textId="0F27E03C"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2.4</w:t>
            </w:r>
          </w:p>
        </w:tc>
        <w:tc>
          <w:tcPr>
            <w:tcW w:w="1559" w:type="dxa"/>
          </w:tcPr>
          <w:p w14:paraId="44B636C7" w14:textId="07D207D6"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38C168DA" w14:textId="77777777" w:rsidTr="0030003B">
        <w:tc>
          <w:tcPr>
            <w:tcW w:w="3510" w:type="dxa"/>
            <w:tcBorders>
              <w:bottom w:val="single" w:sz="4" w:space="0" w:color="auto"/>
            </w:tcBorders>
          </w:tcPr>
          <w:p w14:paraId="121D0220" w14:textId="77777777" w:rsidR="00EC7EA4" w:rsidRPr="0030003B" w:rsidRDefault="00EC7EA4" w:rsidP="004A6CE0">
            <w:pPr>
              <w:jc w:val="both"/>
              <w:rPr>
                <w:rFonts w:asciiTheme="majorHAnsi" w:eastAsia="Arial" w:hAnsiTheme="majorHAnsi" w:cs="Arial"/>
                <w:b/>
              </w:rPr>
            </w:pPr>
            <w:r w:rsidRPr="0030003B">
              <w:rPr>
                <w:rFonts w:asciiTheme="majorHAnsi" w:eastAsia="Arial" w:hAnsiTheme="majorHAnsi" w:cs="Arial"/>
                <w:b/>
              </w:rPr>
              <w:t>Volkensin</w:t>
            </w:r>
          </w:p>
        </w:tc>
        <w:tc>
          <w:tcPr>
            <w:tcW w:w="2835" w:type="dxa"/>
            <w:tcBorders>
              <w:bottom w:val="single" w:sz="4" w:space="0" w:color="auto"/>
            </w:tcBorders>
          </w:tcPr>
          <w:p w14:paraId="7DE73919"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IP</w:t>
            </w:r>
          </w:p>
        </w:tc>
        <w:tc>
          <w:tcPr>
            <w:tcW w:w="1985" w:type="dxa"/>
            <w:tcBorders>
              <w:bottom w:val="single" w:sz="4" w:space="0" w:color="auto"/>
            </w:tcBorders>
          </w:tcPr>
          <w:p w14:paraId="2A866C1E" w14:textId="1F834C66"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1.38</w:t>
            </w:r>
          </w:p>
        </w:tc>
        <w:tc>
          <w:tcPr>
            <w:tcW w:w="1559" w:type="dxa"/>
            <w:tcBorders>
              <w:bottom w:val="single" w:sz="4" w:space="0" w:color="auto"/>
            </w:tcBorders>
          </w:tcPr>
          <w:p w14:paraId="01EE9471" w14:textId="0B16AC9D"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0DA1B63A" w14:textId="77777777" w:rsidTr="0030003B">
        <w:tc>
          <w:tcPr>
            <w:tcW w:w="3510" w:type="dxa"/>
            <w:tcBorders>
              <w:top w:val="single" w:sz="4" w:space="0" w:color="auto"/>
              <w:left w:val="single" w:sz="4" w:space="0" w:color="auto"/>
              <w:bottom w:val="single" w:sz="4" w:space="0" w:color="auto"/>
              <w:right w:val="single" w:sz="4" w:space="0" w:color="auto"/>
            </w:tcBorders>
          </w:tcPr>
          <w:p w14:paraId="6EE036B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i/>
              </w:rPr>
              <w:t>Yersinia pestis</w:t>
            </w:r>
            <w:r w:rsidRPr="0030003B">
              <w:rPr>
                <w:rFonts w:asciiTheme="majorHAnsi" w:eastAsia="Arial" w:hAnsiTheme="majorHAnsi" w:cs="Arial"/>
              </w:rPr>
              <w:t> murine toxin</w:t>
            </w:r>
          </w:p>
        </w:tc>
        <w:tc>
          <w:tcPr>
            <w:tcW w:w="2835" w:type="dxa"/>
            <w:tcBorders>
              <w:top w:val="single" w:sz="4" w:space="0" w:color="auto"/>
              <w:left w:val="single" w:sz="4" w:space="0" w:color="auto"/>
              <w:bottom w:val="single" w:sz="4" w:space="0" w:color="auto"/>
              <w:right w:val="single" w:sz="4" w:space="0" w:color="auto"/>
            </w:tcBorders>
          </w:tcPr>
          <w:p w14:paraId="2A9FA17C"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IV</w:t>
            </w:r>
          </w:p>
        </w:tc>
        <w:tc>
          <w:tcPr>
            <w:tcW w:w="1985" w:type="dxa"/>
            <w:tcBorders>
              <w:top w:val="single" w:sz="4" w:space="0" w:color="auto"/>
              <w:left w:val="single" w:sz="4" w:space="0" w:color="auto"/>
              <w:bottom w:val="single" w:sz="4" w:space="0" w:color="auto"/>
              <w:right w:val="single" w:sz="4" w:space="0" w:color="auto"/>
            </w:tcBorders>
          </w:tcPr>
          <w:p w14:paraId="4902E2E5" w14:textId="77777777" w:rsidR="00EC7EA4" w:rsidRPr="0030003B" w:rsidRDefault="00EC7EA4" w:rsidP="004A6CE0">
            <w:pPr>
              <w:jc w:val="both"/>
              <w:rPr>
                <w:rFonts w:asciiTheme="majorHAnsi" w:eastAsia="Arial" w:hAnsiTheme="majorHAnsi" w:cs="Arial"/>
              </w:rPr>
            </w:pPr>
            <w:r w:rsidRPr="0030003B">
              <w:rPr>
                <w:rFonts w:asciiTheme="majorHAnsi" w:eastAsia="Arial" w:hAnsiTheme="majorHAnsi" w:cs="Arial"/>
              </w:rPr>
              <w:t>10</w:t>
            </w:r>
          </w:p>
        </w:tc>
        <w:tc>
          <w:tcPr>
            <w:tcW w:w="1559" w:type="dxa"/>
            <w:tcBorders>
              <w:top w:val="single" w:sz="4" w:space="0" w:color="auto"/>
              <w:left w:val="single" w:sz="4" w:space="0" w:color="auto"/>
              <w:bottom w:val="single" w:sz="4" w:space="0" w:color="auto"/>
              <w:right w:val="single" w:sz="4" w:space="0" w:color="auto"/>
            </w:tcBorders>
          </w:tcPr>
          <w:p w14:paraId="0EC744A9" w14:textId="7FE8C86A" w:rsidR="00EC7EA4"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11</w:t>
            </w:r>
          </w:p>
        </w:tc>
      </w:tr>
      <w:tr w:rsidR="006978B7" w:rsidRPr="00192B8D" w14:paraId="79EB8C8F" w14:textId="77777777" w:rsidTr="0030003B">
        <w:tc>
          <w:tcPr>
            <w:tcW w:w="3510" w:type="dxa"/>
            <w:tcBorders>
              <w:top w:val="single" w:sz="4" w:space="0" w:color="auto"/>
              <w:left w:val="single" w:sz="4" w:space="0" w:color="auto"/>
              <w:bottom w:val="single" w:sz="4" w:space="0" w:color="auto"/>
              <w:right w:val="single" w:sz="4" w:space="0" w:color="auto"/>
            </w:tcBorders>
          </w:tcPr>
          <w:p w14:paraId="3F861D49" w14:textId="430E836E" w:rsidR="000A1CE5" w:rsidRPr="0030003B" w:rsidRDefault="000A1CE5" w:rsidP="004A6CE0">
            <w:pPr>
              <w:jc w:val="both"/>
              <w:rPr>
                <w:rFonts w:asciiTheme="majorHAnsi" w:eastAsia="Arial" w:hAnsiTheme="majorHAnsi" w:cs="Arial"/>
                <w:i/>
              </w:rPr>
            </w:pPr>
            <w:r w:rsidRPr="00733E74">
              <w:rPr>
                <w:rFonts w:ascii="Symbol" w:eastAsia="Times New Roman" w:hAnsi="Symbol" w:cs="Arial"/>
                <w:color w:val="000000"/>
              </w:rPr>
              <w:t></w:t>
            </w:r>
            <w:r w:rsidRPr="0030003B">
              <w:rPr>
                <w:rFonts w:asciiTheme="majorHAnsi" w:eastAsia="Times New Roman" w:hAnsiTheme="majorHAnsi" w:cs="Arial"/>
                <w:color w:val="000000"/>
              </w:rPr>
              <w:t>-Zearalenone</w:t>
            </w:r>
          </w:p>
        </w:tc>
        <w:tc>
          <w:tcPr>
            <w:tcW w:w="2835" w:type="dxa"/>
            <w:tcBorders>
              <w:top w:val="single" w:sz="4" w:space="0" w:color="auto"/>
              <w:left w:val="single" w:sz="4" w:space="0" w:color="auto"/>
              <w:bottom w:val="single" w:sz="4" w:space="0" w:color="auto"/>
              <w:right w:val="single" w:sz="4" w:space="0" w:color="auto"/>
            </w:tcBorders>
          </w:tcPr>
          <w:p w14:paraId="171E4799" w14:textId="3DCD4E26" w:rsidR="000A1CE5" w:rsidRPr="0030003B" w:rsidRDefault="000A1CE5" w:rsidP="004A6CE0">
            <w:pPr>
              <w:jc w:val="both"/>
              <w:rPr>
                <w:rFonts w:asciiTheme="majorHAnsi" w:eastAsia="Arial" w:hAnsiTheme="majorHAnsi" w:cs="Arial"/>
              </w:rPr>
            </w:pPr>
            <w:r w:rsidRPr="0030003B">
              <w:rPr>
                <w:rFonts w:asciiTheme="majorHAnsi" w:eastAsia="Times New Roman" w:hAnsiTheme="majorHAnsi" w:cs="Arial"/>
                <w:color w:val="000000"/>
              </w:rPr>
              <w:t>oral (rat)</w:t>
            </w:r>
          </w:p>
        </w:tc>
        <w:tc>
          <w:tcPr>
            <w:tcW w:w="1985" w:type="dxa"/>
            <w:tcBorders>
              <w:top w:val="single" w:sz="4" w:space="0" w:color="auto"/>
              <w:left w:val="single" w:sz="4" w:space="0" w:color="auto"/>
              <w:bottom w:val="single" w:sz="4" w:space="0" w:color="auto"/>
              <w:right w:val="single" w:sz="4" w:space="0" w:color="auto"/>
            </w:tcBorders>
          </w:tcPr>
          <w:p w14:paraId="7FAD7665" w14:textId="12E736B6" w:rsidR="000A1CE5" w:rsidRPr="0030003B" w:rsidRDefault="000A1CE5" w:rsidP="004A6CE0">
            <w:pPr>
              <w:jc w:val="both"/>
              <w:rPr>
                <w:rFonts w:asciiTheme="majorHAnsi" w:eastAsia="Arial" w:hAnsiTheme="majorHAnsi" w:cs="Arial"/>
              </w:rPr>
            </w:pPr>
            <w:r w:rsidRPr="0030003B">
              <w:rPr>
                <w:rFonts w:asciiTheme="majorHAnsi" w:eastAsia="Times New Roman" w:hAnsiTheme="majorHAnsi" w:cs="Arial"/>
                <w:color w:val="000000"/>
              </w:rPr>
              <w:t>4000000</w:t>
            </w:r>
          </w:p>
        </w:tc>
        <w:tc>
          <w:tcPr>
            <w:tcW w:w="1559" w:type="dxa"/>
            <w:tcBorders>
              <w:top w:val="single" w:sz="4" w:space="0" w:color="auto"/>
              <w:left w:val="single" w:sz="4" w:space="0" w:color="auto"/>
              <w:bottom w:val="single" w:sz="4" w:space="0" w:color="auto"/>
              <w:right w:val="single" w:sz="4" w:space="0" w:color="auto"/>
            </w:tcBorders>
          </w:tcPr>
          <w:p w14:paraId="3CA3FB46" w14:textId="4B2A9F63" w:rsidR="000A1CE5" w:rsidRPr="0030003B" w:rsidRDefault="000A1CE5" w:rsidP="004A6CE0">
            <w:pPr>
              <w:jc w:val="both"/>
              <w:rPr>
                <w:rFonts w:asciiTheme="majorHAnsi" w:eastAsia="Arial" w:hAnsiTheme="majorHAnsi" w:cs="Arial"/>
                <w:vertAlign w:val="superscript"/>
              </w:rPr>
            </w:pPr>
            <w:r w:rsidRPr="0030003B">
              <w:rPr>
                <w:rFonts w:asciiTheme="majorHAnsi" w:eastAsia="Arial" w:hAnsiTheme="majorHAnsi" w:cs="Arial"/>
                <w:vertAlign w:val="superscript"/>
              </w:rPr>
              <w:t>12</w:t>
            </w:r>
          </w:p>
        </w:tc>
      </w:tr>
    </w:tbl>
    <w:p w14:paraId="70C54D65" w14:textId="77777777" w:rsidR="00A05915" w:rsidRPr="00A05915" w:rsidRDefault="00A05915" w:rsidP="00A05915">
      <w:pPr>
        <w:pBdr>
          <w:top w:val="nil"/>
          <w:left w:val="nil"/>
          <w:bottom w:val="nil"/>
          <w:right w:val="nil"/>
          <w:between w:val="nil"/>
        </w:pBdr>
        <w:spacing w:after="0" w:line="240" w:lineRule="auto"/>
        <w:rPr>
          <w:rFonts w:asciiTheme="majorHAnsi" w:hAnsiTheme="majorHAnsi"/>
          <w:b/>
          <w:color w:val="000000"/>
          <w:sz w:val="20"/>
          <w:szCs w:val="20"/>
        </w:rPr>
      </w:pPr>
    </w:p>
    <w:p w14:paraId="59C1DC40" w14:textId="62E68752" w:rsidR="00565CA2" w:rsidRDefault="00B406A4" w:rsidP="00B406A4">
      <w:pPr>
        <w:pBdr>
          <w:top w:val="nil"/>
          <w:left w:val="nil"/>
          <w:bottom w:val="nil"/>
          <w:right w:val="nil"/>
          <w:between w:val="nil"/>
        </w:pBdr>
        <w:spacing w:after="0" w:line="240" w:lineRule="auto"/>
        <w:rPr>
          <w:rFonts w:asciiTheme="majorHAnsi" w:eastAsia="Arial" w:hAnsiTheme="majorHAnsi" w:cs="Arial"/>
          <w:color w:val="000000"/>
          <w:sz w:val="20"/>
          <w:szCs w:val="20"/>
          <w:highlight w:val="white"/>
        </w:rPr>
      </w:pPr>
      <w:r w:rsidRPr="00192B8D">
        <w:rPr>
          <w:rFonts w:asciiTheme="majorHAnsi" w:eastAsia="Arial" w:hAnsiTheme="majorHAnsi" w:cs="Arial"/>
          <w:color w:val="000000"/>
          <w:sz w:val="20"/>
          <w:szCs w:val="20"/>
          <w:highlight w:val="white"/>
        </w:rPr>
        <w:t>IV = intravenous; IP = intraperitoneal; S</w:t>
      </w:r>
      <w:r w:rsidR="000A1CE5">
        <w:rPr>
          <w:rFonts w:asciiTheme="majorHAnsi" w:eastAsia="Arial" w:hAnsiTheme="majorHAnsi" w:cs="Arial"/>
          <w:color w:val="000000"/>
          <w:sz w:val="20"/>
          <w:szCs w:val="20"/>
          <w:highlight w:val="white"/>
        </w:rPr>
        <w:t>C</w:t>
      </w:r>
      <w:r w:rsidRPr="00192B8D">
        <w:rPr>
          <w:rFonts w:asciiTheme="majorHAnsi" w:eastAsia="Arial" w:hAnsiTheme="majorHAnsi" w:cs="Arial"/>
          <w:color w:val="000000"/>
          <w:sz w:val="20"/>
          <w:szCs w:val="20"/>
          <w:highlight w:val="white"/>
        </w:rPr>
        <w:t xml:space="preserve"> = subcutaneous</w:t>
      </w:r>
      <w:r w:rsidRPr="00192B8D">
        <w:rPr>
          <w:rFonts w:asciiTheme="majorHAnsi" w:eastAsia="Arial" w:hAnsiTheme="majorHAnsi" w:cs="Arial"/>
          <w:color w:val="000000"/>
          <w:sz w:val="20"/>
          <w:szCs w:val="20"/>
        </w:rPr>
        <w:br/>
      </w:r>
      <w:r w:rsidRPr="00192B8D">
        <w:rPr>
          <w:rFonts w:asciiTheme="majorHAnsi" w:eastAsia="Arial" w:hAnsiTheme="majorHAnsi" w:cs="Arial"/>
          <w:color w:val="000000"/>
          <w:sz w:val="20"/>
          <w:szCs w:val="20"/>
          <w:highlight w:val="white"/>
        </w:rPr>
        <w:t>Toxins in bold are </w:t>
      </w:r>
      <w:r>
        <w:rPr>
          <w:rFonts w:asciiTheme="majorHAnsi" w:eastAsia="Arial" w:hAnsiTheme="majorHAnsi" w:cs="Arial"/>
          <w:color w:val="000000"/>
          <w:sz w:val="20"/>
          <w:szCs w:val="20"/>
          <w:highlight w:val="white"/>
        </w:rPr>
        <w:t xml:space="preserve">designated </w:t>
      </w:r>
      <w:r w:rsidRPr="00192B8D">
        <w:rPr>
          <w:rFonts w:asciiTheme="majorHAnsi" w:eastAsia="Arial" w:hAnsiTheme="majorHAnsi" w:cs="Arial"/>
          <w:color w:val="000000"/>
          <w:sz w:val="20"/>
          <w:szCs w:val="20"/>
          <w:highlight w:val="white"/>
        </w:rPr>
        <w:t>Select Agent toxins</w:t>
      </w:r>
      <w:r w:rsidR="00DD21BE" w:rsidRPr="00DD21BE">
        <w:rPr>
          <w:rFonts w:asciiTheme="majorHAnsi" w:eastAsia="Arial" w:hAnsiTheme="majorHAnsi" w:cs="Arial"/>
          <w:color w:val="000000"/>
          <w:sz w:val="20"/>
          <w:szCs w:val="20"/>
          <w:highlight w:val="white"/>
        </w:rPr>
        <w:t xml:space="preserve"> </w:t>
      </w:r>
      <w:r w:rsidR="00DD21BE">
        <w:rPr>
          <w:rFonts w:asciiTheme="majorHAnsi" w:eastAsia="Arial" w:hAnsiTheme="majorHAnsi" w:cs="Arial"/>
          <w:color w:val="000000"/>
          <w:sz w:val="20"/>
          <w:szCs w:val="20"/>
          <w:highlight w:val="white"/>
        </w:rPr>
        <w:t xml:space="preserve">in Schedule 5 of the (UK) </w:t>
      </w:r>
      <w:r w:rsidR="00DD21BE" w:rsidRPr="00A05915">
        <w:rPr>
          <w:rFonts w:asciiTheme="majorHAnsi" w:eastAsia="Arial" w:hAnsiTheme="majorHAnsi" w:cs="Arial"/>
          <w:color w:val="000000"/>
          <w:sz w:val="20"/>
          <w:szCs w:val="20"/>
          <w:u w:val="single"/>
        </w:rPr>
        <w:t>Anti-Terrorism, Crime and Security Act 2001</w:t>
      </w:r>
      <w:r w:rsidR="00DD21BE">
        <w:rPr>
          <w:rFonts w:asciiTheme="majorHAnsi" w:eastAsia="Arial" w:hAnsiTheme="majorHAnsi" w:cs="Arial"/>
          <w:color w:val="000000"/>
          <w:sz w:val="20"/>
          <w:szCs w:val="20"/>
          <w:u w:val="single"/>
        </w:rPr>
        <w:t xml:space="preserve"> or by the US Department of Health and Human Services</w:t>
      </w:r>
      <w:r w:rsidR="00565CA2">
        <w:rPr>
          <w:rFonts w:asciiTheme="majorHAnsi" w:eastAsia="Arial" w:hAnsiTheme="majorHAnsi" w:cs="Arial"/>
          <w:color w:val="000000"/>
          <w:sz w:val="20"/>
          <w:szCs w:val="20"/>
          <w:u w:val="single"/>
        </w:rPr>
        <w:t xml:space="preserve"> (HHS) and Department of Agriculture (USDA)</w:t>
      </w:r>
      <w:r w:rsidRPr="00192B8D">
        <w:rPr>
          <w:rFonts w:asciiTheme="majorHAnsi" w:eastAsia="Arial" w:hAnsiTheme="majorHAnsi" w:cs="Arial"/>
          <w:color w:val="000000"/>
          <w:sz w:val="20"/>
          <w:szCs w:val="20"/>
          <w:highlight w:val="white"/>
        </w:rPr>
        <w:t>.</w:t>
      </w:r>
      <w:r>
        <w:t xml:space="preserve"> </w:t>
      </w:r>
      <w:hyperlink r:id="rId8" w:history="1">
        <w:r w:rsidRPr="0030003B">
          <w:rPr>
            <w:color w:val="0000FF"/>
            <w:sz w:val="20"/>
            <w:szCs w:val="20"/>
            <w:u w:val="single"/>
          </w:rPr>
          <w:t>http://www.healthandsafety.manchester.ac.uk/toolkits/returns/schedule5pathogensandtoxins/schedule5list/</w:t>
        </w:r>
      </w:hyperlink>
      <w:r w:rsidRPr="00733E74">
        <w:rPr>
          <w:rFonts w:asciiTheme="majorHAnsi" w:eastAsia="Arial" w:hAnsiTheme="majorHAnsi" w:cs="Arial"/>
          <w:color w:val="000000"/>
          <w:sz w:val="20"/>
          <w:szCs w:val="20"/>
        </w:rPr>
        <w:br/>
      </w:r>
      <w:r w:rsidR="00565CA2">
        <w:rPr>
          <w:rFonts w:asciiTheme="majorHAnsi" w:eastAsia="Arial" w:hAnsiTheme="majorHAnsi" w:cs="Arial"/>
          <w:color w:val="000000"/>
          <w:sz w:val="20"/>
          <w:szCs w:val="20"/>
          <w:highlight w:val="white"/>
        </w:rPr>
        <w:t xml:space="preserve">LD50 = median lethal dose; the smallest amount that can </w:t>
      </w:r>
      <w:r w:rsidR="00796F6D">
        <w:rPr>
          <w:rFonts w:asciiTheme="majorHAnsi" w:eastAsia="Arial" w:hAnsiTheme="majorHAnsi" w:cs="Arial"/>
          <w:color w:val="000000"/>
          <w:sz w:val="20"/>
          <w:szCs w:val="20"/>
          <w:highlight w:val="white"/>
        </w:rPr>
        <w:t xml:space="preserve">kill </w:t>
      </w:r>
      <w:r w:rsidR="00565CA2">
        <w:rPr>
          <w:rFonts w:asciiTheme="majorHAnsi" w:eastAsia="Arial" w:hAnsiTheme="majorHAnsi" w:cs="Arial"/>
          <w:color w:val="000000"/>
          <w:sz w:val="20"/>
          <w:szCs w:val="20"/>
          <w:highlight w:val="white"/>
        </w:rPr>
        <w:t>50 % of a test group of subjects</w:t>
      </w:r>
    </w:p>
    <w:p w14:paraId="326FC56D" w14:textId="260D34AA" w:rsidR="005C2A95" w:rsidRDefault="000A1CE5" w:rsidP="00A05915">
      <w:pPr>
        <w:pBdr>
          <w:top w:val="nil"/>
          <w:left w:val="nil"/>
          <w:bottom w:val="nil"/>
          <w:right w:val="nil"/>
          <w:between w:val="nil"/>
        </w:pBdr>
        <w:spacing w:after="0" w:line="240" w:lineRule="auto"/>
        <w:rPr>
          <w:rFonts w:asciiTheme="majorHAnsi" w:hAnsiTheme="majorHAnsi"/>
          <w:b/>
          <w:color w:val="000000"/>
          <w:sz w:val="20"/>
          <w:szCs w:val="20"/>
        </w:rPr>
      </w:pPr>
      <w:r>
        <w:rPr>
          <w:rFonts w:asciiTheme="majorHAnsi" w:eastAsia="Arial" w:hAnsiTheme="majorHAnsi" w:cs="Arial"/>
          <w:color w:val="000000"/>
          <w:sz w:val="20"/>
          <w:szCs w:val="20"/>
          <w:highlight w:val="white"/>
        </w:rPr>
        <w:t>LOAEL=Lowest observed adverse effect level</w:t>
      </w:r>
    </w:p>
    <w:p w14:paraId="635A350E" w14:textId="77777777" w:rsidR="005C2A95" w:rsidRDefault="005C2A95" w:rsidP="00A05915">
      <w:pPr>
        <w:pBdr>
          <w:top w:val="nil"/>
          <w:left w:val="nil"/>
          <w:bottom w:val="nil"/>
          <w:right w:val="nil"/>
          <w:between w:val="nil"/>
        </w:pBdr>
        <w:spacing w:after="0" w:line="240" w:lineRule="auto"/>
        <w:rPr>
          <w:rFonts w:asciiTheme="majorHAnsi" w:hAnsiTheme="majorHAnsi"/>
          <w:b/>
          <w:color w:val="000000"/>
          <w:sz w:val="20"/>
          <w:szCs w:val="20"/>
        </w:rPr>
      </w:pPr>
    </w:p>
    <w:p w14:paraId="5C371599" w14:textId="63AA20F7" w:rsidR="00A05915" w:rsidRPr="0030003B" w:rsidRDefault="00A05915" w:rsidP="00A05915">
      <w:pPr>
        <w:pBdr>
          <w:top w:val="nil"/>
          <w:left w:val="nil"/>
          <w:bottom w:val="nil"/>
          <w:right w:val="nil"/>
          <w:between w:val="nil"/>
        </w:pBdr>
        <w:spacing w:after="0" w:line="240" w:lineRule="auto"/>
        <w:rPr>
          <w:rFonts w:asciiTheme="majorHAnsi" w:hAnsiTheme="majorHAnsi"/>
          <w:b/>
          <w:color w:val="000000"/>
          <w:sz w:val="24"/>
          <w:szCs w:val="24"/>
        </w:rPr>
      </w:pPr>
      <w:r w:rsidRPr="0030003B">
        <w:rPr>
          <w:rFonts w:asciiTheme="majorHAnsi" w:hAnsiTheme="majorHAnsi"/>
          <w:b/>
          <w:color w:val="000000"/>
          <w:sz w:val="24"/>
          <w:szCs w:val="24"/>
        </w:rPr>
        <w:t xml:space="preserve">Table 2. Limits of </w:t>
      </w:r>
      <w:r w:rsidR="00565CA2" w:rsidRPr="0030003B">
        <w:rPr>
          <w:rFonts w:asciiTheme="majorHAnsi" w:hAnsiTheme="majorHAnsi"/>
          <w:b/>
          <w:color w:val="000000"/>
          <w:sz w:val="24"/>
          <w:szCs w:val="24"/>
        </w:rPr>
        <w:t xml:space="preserve">Select Agent </w:t>
      </w:r>
      <w:r w:rsidRPr="0030003B">
        <w:rPr>
          <w:rFonts w:asciiTheme="majorHAnsi" w:hAnsiTheme="majorHAnsi"/>
          <w:b/>
          <w:color w:val="000000"/>
          <w:sz w:val="24"/>
          <w:szCs w:val="24"/>
        </w:rPr>
        <w:t>toxins</w:t>
      </w:r>
      <w:r w:rsidR="006978B7">
        <w:rPr>
          <w:rFonts w:asciiTheme="majorHAnsi" w:hAnsiTheme="majorHAnsi"/>
          <w:b/>
          <w:color w:val="000000"/>
          <w:sz w:val="24"/>
          <w:szCs w:val="24"/>
        </w:rPr>
        <w:t xml:space="preserve"> </w:t>
      </w:r>
      <w:r w:rsidR="00565CA2" w:rsidRPr="0030003B">
        <w:rPr>
          <w:rFonts w:asciiTheme="majorHAnsi" w:hAnsiTheme="majorHAnsi"/>
          <w:b/>
          <w:color w:val="000000"/>
          <w:sz w:val="24"/>
          <w:szCs w:val="24"/>
        </w:rPr>
        <w:t>permitted in Containment level 2</w:t>
      </w:r>
    </w:p>
    <w:p w14:paraId="539132FD" w14:textId="77777777" w:rsidR="006978B7" w:rsidRPr="00A05915" w:rsidRDefault="006978B7" w:rsidP="00A05915">
      <w:pPr>
        <w:pBdr>
          <w:top w:val="nil"/>
          <w:left w:val="nil"/>
          <w:bottom w:val="nil"/>
          <w:right w:val="nil"/>
          <w:between w:val="nil"/>
        </w:pBdr>
        <w:spacing w:after="0" w:line="240" w:lineRule="auto"/>
        <w:rPr>
          <w:rFonts w:asciiTheme="majorHAnsi" w:hAnsiTheme="majorHAnsi"/>
          <w:b/>
          <w:color w:val="000000"/>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403"/>
        <w:gridCol w:w="236"/>
        <w:gridCol w:w="353"/>
        <w:gridCol w:w="2028"/>
        <w:gridCol w:w="2367"/>
      </w:tblGrid>
      <w:tr w:rsidR="00A05915" w:rsidRPr="00A05915" w14:paraId="658124CE" w14:textId="77777777" w:rsidTr="0030003B">
        <w:tc>
          <w:tcPr>
            <w:tcW w:w="4219" w:type="dxa"/>
          </w:tcPr>
          <w:p w14:paraId="48447CCD" w14:textId="77777777" w:rsidR="00A05915" w:rsidRPr="00A05915" w:rsidRDefault="00A05915" w:rsidP="0030003B">
            <w:pPr>
              <w:spacing w:line="240" w:lineRule="auto"/>
              <w:rPr>
                <w:b/>
              </w:rPr>
            </w:pPr>
            <w:r w:rsidRPr="00A05915">
              <w:rPr>
                <w:b/>
              </w:rPr>
              <w:t>Toxin Name</w:t>
            </w:r>
          </w:p>
        </w:tc>
        <w:tc>
          <w:tcPr>
            <w:tcW w:w="992" w:type="dxa"/>
            <w:gridSpan w:val="3"/>
          </w:tcPr>
          <w:p w14:paraId="0674A5BC" w14:textId="77777777" w:rsidR="00A05915" w:rsidRPr="00A05915" w:rsidRDefault="00A05915" w:rsidP="0030003B">
            <w:pPr>
              <w:spacing w:line="240" w:lineRule="auto"/>
              <w:rPr>
                <w:b/>
              </w:rPr>
            </w:pPr>
            <w:r w:rsidRPr="00A05915">
              <w:rPr>
                <w:b/>
              </w:rPr>
              <w:t>LD</w:t>
            </w:r>
            <w:r w:rsidRPr="00A05915">
              <w:rPr>
                <w:b/>
                <w:vertAlign w:val="subscript"/>
              </w:rPr>
              <w:t>50</w:t>
            </w:r>
          </w:p>
          <w:p w14:paraId="4406C7EE" w14:textId="77777777" w:rsidR="00A05915" w:rsidRPr="00A05915" w:rsidRDefault="00A05915" w:rsidP="0030003B">
            <w:pPr>
              <w:spacing w:line="240" w:lineRule="auto"/>
              <w:rPr>
                <w:b/>
              </w:rPr>
            </w:pPr>
            <w:r w:rsidRPr="00A05915">
              <w:rPr>
                <w:b/>
                <w:highlight w:val="white"/>
              </w:rPr>
              <w:t>(µg/kg)</w:t>
            </w:r>
          </w:p>
        </w:tc>
        <w:tc>
          <w:tcPr>
            <w:tcW w:w="2028" w:type="dxa"/>
          </w:tcPr>
          <w:p w14:paraId="5330DCDC" w14:textId="77777777" w:rsidR="00A05915" w:rsidRPr="00A05915" w:rsidRDefault="00A05915" w:rsidP="0030003B">
            <w:pPr>
              <w:spacing w:line="240" w:lineRule="auto"/>
              <w:rPr>
                <w:b/>
              </w:rPr>
            </w:pPr>
            <w:r w:rsidRPr="00A05915">
              <w:rPr>
                <w:b/>
              </w:rPr>
              <w:t>Recommended Limit per PI</w:t>
            </w:r>
          </w:p>
        </w:tc>
        <w:tc>
          <w:tcPr>
            <w:tcW w:w="2367" w:type="dxa"/>
          </w:tcPr>
          <w:p w14:paraId="1495D73D" w14:textId="77777777" w:rsidR="00A05915" w:rsidRPr="00A05915" w:rsidRDefault="00A05915" w:rsidP="0030003B">
            <w:pPr>
              <w:spacing w:line="240" w:lineRule="auto"/>
              <w:rPr>
                <w:b/>
              </w:rPr>
            </w:pPr>
            <w:r w:rsidRPr="00A05915">
              <w:rPr>
                <w:b/>
              </w:rPr>
              <w:t>Maximum Limit</w:t>
            </w:r>
          </w:p>
          <w:p w14:paraId="536F078A" w14:textId="77777777" w:rsidR="00A05915" w:rsidRPr="00A05915" w:rsidRDefault="00A05915" w:rsidP="0030003B">
            <w:pPr>
              <w:spacing w:line="240" w:lineRule="auto"/>
              <w:rPr>
                <w:b/>
              </w:rPr>
            </w:pPr>
            <w:r w:rsidRPr="00A05915">
              <w:rPr>
                <w:b/>
              </w:rPr>
              <w:t>in storage at DCU</w:t>
            </w:r>
          </w:p>
        </w:tc>
      </w:tr>
      <w:tr w:rsidR="00A05915" w:rsidRPr="00A05915" w14:paraId="0D199543" w14:textId="77777777" w:rsidTr="0030003B">
        <w:tc>
          <w:tcPr>
            <w:tcW w:w="4219" w:type="dxa"/>
          </w:tcPr>
          <w:p w14:paraId="266DCD5A" w14:textId="77777777" w:rsidR="00A05915" w:rsidRPr="00A05915" w:rsidRDefault="00A05915" w:rsidP="0030003B">
            <w:pPr>
              <w:pStyle w:val="NoSpacing"/>
            </w:pPr>
            <w:r w:rsidRPr="00A05915">
              <w:t>Abrin</w:t>
            </w:r>
          </w:p>
        </w:tc>
        <w:tc>
          <w:tcPr>
            <w:tcW w:w="992" w:type="dxa"/>
            <w:gridSpan w:val="3"/>
          </w:tcPr>
          <w:p w14:paraId="5D6BB95B" w14:textId="77777777" w:rsidR="00A05915" w:rsidRPr="00A05915" w:rsidRDefault="00A05915" w:rsidP="0030003B">
            <w:pPr>
              <w:pStyle w:val="NoSpacing"/>
            </w:pPr>
            <w:r w:rsidRPr="00A05915">
              <w:rPr>
                <w:highlight w:val="white"/>
              </w:rPr>
              <w:t>0.7</w:t>
            </w:r>
          </w:p>
        </w:tc>
        <w:tc>
          <w:tcPr>
            <w:tcW w:w="2028" w:type="dxa"/>
          </w:tcPr>
          <w:p w14:paraId="08B2B2BA" w14:textId="77777777" w:rsidR="00A05915" w:rsidRPr="00A05915" w:rsidRDefault="00A05915" w:rsidP="0030003B">
            <w:pPr>
              <w:pStyle w:val="NoSpacing"/>
            </w:pPr>
            <w:r w:rsidRPr="00A05915">
              <w:t>1000 mg</w:t>
            </w:r>
          </w:p>
        </w:tc>
        <w:tc>
          <w:tcPr>
            <w:tcW w:w="2367" w:type="dxa"/>
          </w:tcPr>
          <w:p w14:paraId="4A7F34CE" w14:textId="77777777" w:rsidR="00A05915" w:rsidRPr="00A05915" w:rsidRDefault="00A05915" w:rsidP="0030003B">
            <w:pPr>
              <w:pStyle w:val="NoSpacing"/>
            </w:pPr>
            <w:r w:rsidRPr="00A05915">
              <w:t>5000 mg</w:t>
            </w:r>
          </w:p>
        </w:tc>
      </w:tr>
      <w:tr w:rsidR="00A05915" w:rsidRPr="00A05915" w14:paraId="382B2D6E" w14:textId="77777777" w:rsidTr="0030003B">
        <w:tc>
          <w:tcPr>
            <w:tcW w:w="4219" w:type="dxa"/>
          </w:tcPr>
          <w:p w14:paraId="297FD753" w14:textId="77777777" w:rsidR="00A05915" w:rsidRPr="00A05915" w:rsidRDefault="00A05915" w:rsidP="0030003B">
            <w:pPr>
              <w:pStyle w:val="NoSpacing"/>
            </w:pPr>
            <w:r w:rsidRPr="00A05915">
              <w:t>Botulinum neurotoxins</w:t>
            </w:r>
          </w:p>
        </w:tc>
        <w:tc>
          <w:tcPr>
            <w:tcW w:w="992" w:type="dxa"/>
            <w:gridSpan w:val="3"/>
          </w:tcPr>
          <w:p w14:paraId="28745688" w14:textId="77777777" w:rsidR="00A05915" w:rsidRPr="00A05915" w:rsidRDefault="00A05915" w:rsidP="0030003B">
            <w:pPr>
              <w:pStyle w:val="NoSpacing"/>
            </w:pPr>
            <w:r w:rsidRPr="00A05915">
              <w:rPr>
                <w:highlight w:val="white"/>
              </w:rPr>
              <w:t>0.001</w:t>
            </w:r>
          </w:p>
        </w:tc>
        <w:tc>
          <w:tcPr>
            <w:tcW w:w="2028" w:type="dxa"/>
          </w:tcPr>
          <w:p w14:paraId="12286EE9" w14:textId="77777777" w:rsidR="00A05915" w:rsidRPr="00A05915" w:rsidRDefault="00A05915" w:rsidP="0030003B">
            <w:pPr>
              <w:pStyle w:val="NoSpacing"/>
            </w:pPr>
            <w:r w:rsidRPr="00A05915">
              <w:t>1 mg</w:t>
            </w:r>
          </w:p>
        </w:tc>
        <w:tc>
          <w:tcPr>
            <w:tcW w:w="2367" w:type="dxa"/>
          </w:tcPr>
          <w:p w14:paraId="34338968" w14:textId="77777777" w:rsidR="00A05915" w:rsidRPr="00A05915" w:rsidRDefault="00A05915" w:rsidP="0030003B">
            <w:pPr>
              <w:pStyle w:val="NoSpacing"/>
            </w:pPr>
            <w:r w:rsidRPr="00A05915">
              <w:t>5 mg</w:t>
            </w:r>
          </w:p>
        </w:tc>
      </w:tr>
      <w:tr w:rsidR="00A05915" w:rsidRPr="00A05915" w14:paraId="02FFC315" w14:textId="77777777" w:rsidTr="0030003B">
        <w:tc>
          <w:tcPr>
            <w:tcW w:w="4219" w:type="dxa"/>
          </w:tcPr>
          <w:p w14:paraId="6B7A95D9" w14:textId="77777777" w:rsidR="00A05915" w:rsidRPr="00A05915" w:rsidRDefault="00A05915" w:rsidP="0030003B">
            <w:pPr>
              <w:pStyle w:val="NoSpacing"/>
            </w:pPr>
            <w:r w:rsidRPr="00A05915">
              <w:t>Short, paralytic alpha conotoxins</w:t>
            </w:r>
          </w:p>
        </w:tc>
        <w:tc>
          <w:tcPr>
            <w:tcW w:w="992" w:type="dxa"/>
            <w:gridSpan w:val="3"/>
          </w:tcPr>
          <w:p w14:paraId="58D38B35" w14:textId="77777777" w:rsidR="00A05915" w:rsidRPr="00A05915" w:rsidRDefault="00A05915" w:rsidP="0030003B">
            <w:pPr>
              <w:pStyle w:val="NoSpacing"/>
            </w:pPr>
            <w:r w:rsidRPr="00A05915">
              <w:rPr>
                <w:highlight w:val="white"/>
              </w:rPr>
              <w:t>12-30</w:t>
            </w:r>
          </w:p>
        </w:tc>
        <w:tc>
          <w:tcPr>
            <w:tcW w:w="2028" w:type="dxa"/>
          </w:tcPr>
          <w:p w14:paraId="46906751" w14:textId="77777777" w:rsidR="00A05915" w:rsidRPr="00A05915" w:rsidRDefault="00A05915" w:rsidP="0030003B">
            <w:pPr>
              <w:pStyle w:val="NoSpacing"/>
            </w:pPr>
            <w:r w:rsidRPr="00A05915">
              <w:t>100 mg</w:t>
            </w:r>
          </w:p>
        </w:tc>
        <w:tc>
          <w:tcPr>
            <w:tcW w:w="2367" w:type="dxa"/>
          </w:tcPr>
          <w:p w14:paraId="2CD859F4" w14:textId="77777777" w:rsidR="00A05915" w:rsidRPr="00A05915" w:rsidRDefault="00A05915" w:rsidP="0030003B">
            <w:pPr>
              <w:pStyle w:val="NoSpacing"/>
            </w:pPr>
            <w:r w:rsidRPr="00A05915">
              <w:t>500 mg</w:t>
            </w:r>
          </w:p>
        </w:tc>
      </w:tr>
      <w:tr w:rsidR="00A05915" w:rsidRPr="00A05915" w14:paraId="26F8F5B1" w14:textId="77777777" w:rsidTr="0030003B">
        <w:tc>
          <w:tcPr>
            <w:tcW w:w="4219" w:type="dxa"/>
          </w:tcPr>
          <w:p w14:paraId="28EB9D26" w14:textId="77777777" w:rsidR="00A05915" w:rsidRPr="00A05915" w:rsidRDefault="00A05915" w:rsidP="0030003B">
            <w:pPr>
              <w:pStyle w:val="NoSpacing"/>
            </w:pPr>
            <w:r w:rsidRPr="00A05915">
              <w:t>Diacetoxyscirpenol (DAS)</w:t>
            </w:r>
          </w:p>
        </w:tc>
        <w:tc>
          <w:tcPr>
            <w:tcW w:w="992" w:type="dxa"/>
            <w:gridSpan w:val="3"/>
          </w:tcPr>
          <w:p w14:paraId="71F88E33" w14:textId="77777777" w:rsidR="00A05915" w:rsidRPr="00A05915" w:rsidRDefault="00A05915" w:rsidP="0030003B">
            <w:pPr>
              <w:pStyle w:val="NoSpacing"/>
            </w:pPr>
            <w:r w:rsidRPr="00A05915">
              <w:rPr>
                <w:highlight w:val="white"/>
              </w:rPr>
              <w:t>750</w:t>
            </w:r>
          </w:p>
        </w:tc>
        <w:tc>
          <w:tcPr>
            <w:tcW w:w="2028" w:type="dxa"/>
          </w:tcPr>
          <w:p w14:paraId="677431BC" w14:textId="77777777" w:rsidR="00A05915" w:rsidRPr="00A05915" w:rsidRDefault="00A05915" w:rsidP="0030003B">
            <w:pPr>
              <w:pStyle w:val="NoSpacing"/>
            </w:pPr>
            <w:r w:rsidRPr="00A05915">
              <w:t>10,000 mg</w:t>
            </w:r>
          </w:p>
        </w:tc>
        <w:tc>
          <w:tcPr>
            <w:tcW w:w="2367" w:type="dxa"/>
          </w:tcPr>
          <w:p w14:paraId="6FA4F932" w14:textId="77777777" w:rsidR="00A05915" w:rsidRPr="00A05915" w:rsidRDefault="00A05915" w:rsidP="0030003B">
            <w:pPr>
              <w:pStyle w:val="NoSpacing"/>
            </w:pPr>
            <w:r w:rsidRPr="00A05915">
              <w:t>50,000 mg</w:t>
            </w:r>
          </w:p>
        </w:tc>
      </w:tr>
      <w:tr w:rsidR="00A05915" w:rsidRPr="00A05915" w14:paraId="5E18F3BC" w14:textId="77777777" w:rsidTr="0030003B">
        <w:tc>
          <w:tcPr>
            <w:tcW w:w="4219" w:type="dxa"/>
          </w:tcPr>
          <w:p w14:paraId="37F64AF6" w14:textId="77777777" w:rsidR="00A05915" w:rsidRPr="00A05915" w:rsidRDefault="00A05915" w:rsidP="0030003B">
            <w:pPr>
              <w:pStyle w:val="NoSpacing"/>
            </w:pPr>
            <w:r w:rsidRPr="00A05915">
              <w:t>Ricin</w:t>
            </w:r>
          </w:p>
        </w:tc>
        <w:tc>
          <w:tcPr>
            <w:tcW w:w="992" w:type="dxa"/>
            <w:gridSpan w:val="3"/>
          </w:tcPr>
          <w:p w14:paraId="7EA69A07" w14:textId="77777777" w:rsidR="00A05915" w:rsidRPr="00A05915" w:rsidRDefault="00A05915" w:rsidP="0030003B">
            <w:pPr>
              <w:pStyle w:val="NoSpacing"/>
            </w:pPr>
            <w:r w:rsidRPr="00A05915">
              <w:rPr>
                <w:highlight w:val="white"/>
              </w:rPr>
              <w:t>2.7</w:t>
            </w:r>
          </w:p>
        </w:tc>
        <w:tc>
          <w:tcPr>
            <w:tcW w:w="2028" w:type="dxa"/>
          </w:tcPr>
          <w:p w14:paraId="586FF681" w14:textId="77777777" w:rsidR="00A05915" w:rsidRPr="00A05915" w:rsidRDefault="00A05915" w:rsidP="0030003B">
            <w:pPr>
              <w:pStyle w:val="NoSpacing"/>
            </w:pPr>
            <w:r w:rsidRPr="00A05915">
              <w:t>1000 mg</w:t>
            </w:r>
          </w:p>
        </w:tc>
        <w:tc>
          <w:tcPr>
            <w:tcW w:w="2367" w:type="dxa"/>
          </w:tcPr>
          <w:p w14:paraId="5A50855C" w14:textId="77777777" w:rsidR="00A05915" w:rsidRPr="00A05915" w:rsidRDefault="00A05915" w:rsidP="0030003B">
            <w:pPr>
              <w:pStyle w:val="NoSpacing"/>
            </w:pPr>
            <w:r w:rsidRPr="00A05915">
              <w:t>5000 mg</w:t>
            </w:r>
          </w:p>
        </w:tc>
      </w:tr>
      <w:tr w:rsidR="00A05915" w:rsidRPr="00A05915" w14:paraId="38224A78" w14:textId="77777777" w:rsidTr="0030003B">
        <w:tc>
          <w:tcPr>
            <w:tcW w:w="4219" w:type="dxa"/>
          </w:tcPr>
          <w:p w14:paraId="7E4B60EA" w14:textId="77777777" w:rsidR="00A05915" w:rsidRPr="00A05915" w:rsidRDefault="00A05915" w:rsidP="0030003B">
            <w:pPr>
              <w:pStyle w:val="NoSpacing"/>
            </w:pPr>
            <w:r w:rsidRPr="00A05915">
              <w:t>Saxitoxin</w:t>
            </w:r>
          </w:p>
        </w:tc>
        <w:tc>
          <w:tcPr>
            <w:tcW w:w="992" w:type="dxa"/>
            <w:gridSpan w:val="3"/>
          </w:tcPr>
          <w:p w14:paraId="2CD1E73F" w14:textId="77777777" w:rsidR="00A05915" w:rsidRPr="00A05915" w:rsidRDefault="00A05915" w:rsidP="0030003B">
            <w:pPr>
              <w:pStyle w:val="NoSpacing"/>
            </w:pPr>
            <w:r w:rsidRPr="00A05915">
              <w:rPr>
                <w:highlight w:val="white"/>
              </w:rPr>
              <w:t>8</w:t>
            </w:r>
          </w:p>
        </w:tc>
        <w:tc>
          <w:tcPr>
            <w:tcW w:w="2028" w:type="dxa"/>
          </w:tcPr>
          <w:p w14:paraId="0BA127A5" w14:textId="77777777" w:rsidR="00A05915" w:rsidRPr="00A05915" w:rsidRDefault="00A05915" w:rsidP="0030003B">
            <w:pPr>
              <w:pStyle w:val="NoSpacing"/>
            </w:pPr>
            <w:r w:rsidRPr="00A05915">
              <w:t>500 mg</w:t>
            </w:r>
          </w:p>
        </w:tc>
        <w:tc>
          <w:tcPr>
            <w:tcW w:w="2367" w:type="dxa"/>
          </w:tcPr>
          <w:p w14:paraId="407A8A8E" w14:textId="77777777" w:rsidR="00A05915" w:rsidRPr="00A05915" w:rsidRDefault="00A05915" w:rsidP="0030003B">
            <w:pPr>
              <w:pStyle w:val="NoSpacing"/>
            </w:pPr>
            <w:r w:rsidRPr="00A05915">
              <w:t>2500 mg</w:t>
            </w:r>
          </w:p>
        </w:tc>
      </w:tr>
      <w:tr w:rsidR="00A05915" w:rsidRPr="00A05915" w14:paraId="153AFE20" w14:textId="77777777" w:rsidTr="0030003B">
        <w:tc>
          <w:tcPr>
            <w:tcW w:w="4219" w:type="dxa"/>
          </w:tcPr>
          <w:p w14:paraId="168FB21E" w14:textId="77777777" w:rsidR="00A05915" w:rsidRPr="00A05915" w:rsidRDefault="00A05915" w:rsidP="0030003B">
            <w:pPr>
              <w:pStyle w:val="NoSpacing"/>
            </w:pPr>
            <w:r w:rsidRPr="00A05915">
              <w:t>Staphylococcal Enterotoxins (Subtypes A, B, C, D &amp; E)</w:t>
            </w:r>
          </w:p>
        </w:tc>
        <w:tc>
          <w:tcPr>
            <w:tcW w:w="992" w:type="dxa"/>
            <w:gridSpan w:val="3"/>
          </w:tcPr>
          <w:p w14:paraId="21B0D82E" w14:textId="77777777" w:rsidR="00A05915" w:rsidRPr="00A05915" w:rsidRDefault="00A05915" w:rsidP="0030003B">
            <w:pPr>
              <w:pStyle w:val="NoSpacing"/>
            </w:pPr>
            <w:r w:rsidRPr="00A05915">
              <w:t>25</w:t>
            </w:r>
          </w:p>
        </w:tc>
        <w:tc>
          <w:tcPr>
            <w:tcW w:w="2028" w:type="dxa"/>
          </w:tcPr>
          <w:p w14:paraId="186227CB" w14:textId="77777777" w:rsidR="00A05915" w:rsidRPr="00A05915" w:rsidRDefault="00A05915" w:rsidP="0030003B">
            <w:pPr>
              <w:pStyle w:val="NoSpacing"/>
            </w:pPr>
            <w:r w:rsidRPr="00A05915">
              <w:t>100 mg</w:t>
            </w:r>
          </w:p>
        </w:tc>
        <w:tc>
          <w:tcPr>
            <w:tcW w:w="2367" w:type="dxa"/>
          </w:tcPr>
          <w:p w14:paraId="089D4A60" w14:textId="77777777" w:rsidR="00A05915" w:rsidRPr="00A05915" w:rsidRDefault="00A05915" w:rsidP="0030003B">
            <w:pPr>
              <w:pStyle w:val="NoSpacing"/>
            </w:pPr>
            <w:r w:rsidRPr="00A05915">
              <w:t>500 mg</w:t>
            </w:r>
          </w:p>
        </w:tc>
      </w:tr>
      <w:tr w:rsidR="00A05915" w:rsidRPr="00A05915" w14:paraId="4144181F" w14:textId="77777777" w:rsidTr="0030003B">
        <w:tc>
          <w:tcPr>
            <w:tcW w:w="4219" w:type="dxa"/>
          </w:tcPr>
          <w:p w14:paraId="1333BC6A" w14:textId="77777777" w:rsidR="00A05915" w:rsidRPr="00A05915" w:rsidRDefault="00A05915" w:rsidP="0030003B">
            <w:pPr>
              <w:pStyle w:val="NoSpacing"/>
            </w:pPr>
            <w:r w:rsidRPr="00A05915">
              <w:t>T-2 toxin</w:t>
            </w:r>
          </w:p>
        </w:tc>
        <w:tc>
          <w:tcPr>
            <w:tcW w:w="992" w:type="dxa"/>
            <w:gridSpan w:val="3"/>
          </w:tcPr>
          <w:p w14:paraId="42CFD71E" w14:textId="77777777" w:rsidR="00A05915" w:rsidRPr="00A05915" w:rsidRDefault="00A05915" w:rsidP="0030003B">
            <w:pPr>
              <w:pStyle w:val="NoSpacing"/>
            </w:pPr>
            <w:r w:rsidRPr="00A05915">
              <w:t>2700</w:t>
            </w:r>
          </w:p>
        </w:tc>
        <w:tc>
          <w:tcPr>
            <w:tcW w:w="2028" w:type="dxa"/>
          </w:tcPr>
          <w:p w14:paraId="3A7C84F9" w14:textId="77777777" w:rsidR="00A05915" w:rsidRPr="00A05915" w:rsidRDefault="00A05915" w:rsidP="0030003B">
            <w:pPr>
              <w:pStyle w:val="NoSpacing"/>
            </w:pPr>
            <w:r w:rsidRPr="00A05915">
              <w:t>10,000 mg</w:t>
            </w:r>
          </w:p>
        </w:tc>
        <w:tc>
          <w:tcPr>
            <w:tcW w:w="2367" w:type="dxa"/>
          </w:tcPr>
          <w:p w14:paraId="56060D96" w14:textId="77777777" w:rsidR="00A05915" w:rsidRPr="00A05915" w:rsidRDefault="00A05915" w:rsidP="0030003B">
            <w:pPr>
              <w:pStyle w:val="NoSpacing"/>
            </w:pPr>
            <w:r w:rsidRPr="00A05915">
              <w:t>50,000 mg</w:t>
            </w:r>
          </w:p>
        </w:tc>
      </w:tr>
      <w:tr w:rsidR="00A05915" w:rsidRPr="00A05915" w14:paraId="0FBBA4FD" w14:textId="77777777" w:rsidTr="0030003B">
        <w:tc>
          <w:tcPr>
            <w:tcW w:w="4219" w:type="dxa"/>
          </w:tcPr>
          <w:p w14:paraId="6C5E34ED" w14:textId="77777777" w:rsidR="00A05915" w:rsidRPr="00A05915" w:rsidRDefault="00A05915" w:rsidP="00A05915">
            <w:r w:rsidRPr="00A05915">
              <w:t>Tetrodotoxin</w:t>
            </w:r>
          </w:p>
        </w:tc>
        <w:tc>
          <w:tcPr>
            <w:tcW w:w="992" w:type="dxa"/>
            <w:gridSpan w:val="3"/>
          </w:tcPr>
          <w:p w14:paraId="752155DD" w14:textId="77777777" w:rsidR="00A05915" w:rsidRPr="00A05915" w:rsidRDefault="00A05915" w:rsidP="00A05915">
            <w:r w:rsidRPr="00A05915">
              <w:t>8</w:t>
            </w:r>
          </w:p>
        </w:tc>
        <w:tc>
          <w:tcPr>
            <w:tcW w:w="2028" w:type="dxa"/>
          </w:tcPr>
          <w:p w14:paraId="1AE80389" w14:textId="77777777" w:rsidR="00A05915" w:rsidRPr="00A05915" w:rsidRDefault="00A05915" w:rsidP="00A05915">
            <w:r w:rsidRPr="00A05915">
              <w:t>500 mg</w:t>
            </w:r>
          </w:p>
        </w:tc>
        <w:tc>
          <w:tcPr>
            <w:tcW w:w="2367" w:type="dxa"/>
          </w:tcPr>
          <w:p w14:paraId="51DC692C" w14:textId="77777777" w:rsidR="00A05915" w:rsidRPr="00A05915" w:rsidRDefault="00A05915" w:rsidP="00A05915">
            <w:r w:rsidRPr="00A05915">
              <w:t>2500 mg</w:t>
            </w:r>
          </w:p>
        </w:tc>
      </w:tr>
      <w:tr w:rsidR="00A05915" w:rsidRPr="00A05915" w14:paraId="62C856B3" w14:textId="77777777" w:rsidTr="00300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67" w:type="dxa"/>
          <w:trHeight w:val="315"/>
        </w:trPr>
        <w:tc>
          <w:tcPr>
            <w:tcW w:w="4622" w:type="dxa"/>
            <w:gridSpan w:val="2"/>
            <w:noWrap/>
          </w:tcPr>
          <w:p w14:paraId="2CB535E2" w14:textId="77777777" w:rsidR="00A05915" w:rsidRPr="00A05915" w:rsidRDefault="00A05915" w:rsidP="00A05915">
            <w:pPr>
              <w:rPr>
                <w:rFonts w:asciiTheme="minorHAnsi" w:eastAsia="Times New Roman" w:hAnsiTheme="minorHAnsi" w:cs="Arial"/>
                <w:color w:val="000000"/>
                <w:sz w:val="20"/>
                <w:szCs w:val="20"/>
              </w:rPr>
            </w:pPr>
          </w:p>
        </w:tc>
        <w:tc>
          <w:tcPr>
            <w:tcW w:w="236" w:type="dxa"/>
            <w:noWrap/>
          </w:tcPr>
          <w:p w14:paraId="3EE0ECE1" w14:textId="77777777" w:rsidR="00A05915" w:rsidRPr="00A05915" w:rsidRDefault="00A05915" w:rsidP="00A05915">
            <w:pPr>
              <w:rPr>
                <w:rFonts w:asciiTheme="minorHAnsi" w:eastAsia="Times New Roman" w:hAnsiTheme="minorHAnsi" w:cs="Arial"/>
                <w:color w:val="000000"/>
                <w:sz w:val="20"/>
                <w:szCs w:val="20"/>
              </w:rPr>
            </w:pPr>
          </w:p>
        </w:tc>
        <w:tc>
          <w:tcPr>
            <w:tcW w:w="2381" w:type="dxa"/>
            <w:gridSpan w:val="2"/>
            <w:noWrap/>
          </w:tcPr>
          <w:p w14:paraId="55EC3C0B" w14:textId="77777777" w:rsidR="00A05915" w:rsidRPr="00A05915" w:rsidRDefault="00A05915" w:rsidP="00A05915">
            <w:pPr>
              <w:jc w:val="right"/>
              <w:rPr>
                <w:rFonts w:asciiTheme="minorHAnsi" w:eastAsia="Times New Roman" w:hAnsiTheme="minorHAnsi" w:cs="Arial"/>
                <w:color w:val="000000"/>
                <w:sz w:val="20"/>
                <w:szCs w:val="20"/>
              </w:rPr>
            </w:pPr>
          </w:p>
        </w:tc>
      </w:tr>
    </w:tbl>
    <w:p w14:paraId="3068473A" w14:textId="77777777" w:rsidR="006978B7" w:rsidRDefault="006978B7" w:rsidP="00A05915">
      <w:pPr>
        <w:pBdr>
          <w:top w:val="nil"/>
          <w:left w:val="nil"/>
          <w:bottom w:val="nil"/>
          <w:right w:val="nil"/>
          <w:between w:val="nil"/>
        </w:pBdr>
        <w:shd w:val="clear" w:color="auto" w:fill="FFFFFF"/>
        <w:spacing w:after="0" w:line="240" w:lineRule="auto"/>
        <w:jc w:val="both"/>
        <w:rPr>
          <w:rFonts w:asciiTheme="majorHAnsi" w:eastAsia="Arial" w:hAnsiTheme="majorHAnsi" w:cs="Arial"/>
          <w:color w:val="000000"/>
          <w:sz w:val="20"/>
          <w:szCs w:val="20"/>
        </w:rPr>
      </w:pPr>
    </w:p>
    <w:p w14:paraId="2B814DF8" w14:textId="77777777" w:rsidR="006978B7" w:rsidRDefault="006978B7" w:rsidP="00A05915">
      <w:pPr>
        <w:pBdr>
          <w:top w:val="nil"/>
          <w:left w:val="nil"/>
          <w:bottom w:val="nil"/>
          <w:right w:val="nil"/>
          <w:between w:val="nil"/>
        </w:pBdr>
        <w:shd w:val="clear" w:color="auto" w:fill="FFFFFF"/>
        <w:spacing w:after="0" w:line="240" w:lineRule="auto"/>
        <w:jc w:val="both"/>
        <w:rPr>
          <w:rFonts w:asciiTheme="majorHAnsi" w:eastAsia="Arial" w:hAnsiTheme="majorHAnsi" w:cs="Arial"/>
          <w:color w:val="000000"/>
          <w:sz w:val="20"/>
          <w:szCs w:val="20"/>
        </w:rPr>
      </w:pPr>
    </w:p>
    <w:p w14:paraId="1A98EB07" w14:textId="77777777" w:rsidR="006978B7" w:rsidRDefault="006978B7" w:rsidP="00A05915">
      <w:pPr>
        <w:pBdr>
          <w:top w:val="nil"/>
          <w:left w:val="nil"/>
          <w:bottom w:val="nil"/>
          <w:right w:val="nil"/>
          <w:between w:val="nil"/>
        </w:pBdr>
        <w:shd w:val="clear" w:color="auto" w:fill="FFFFFF"/>
        <w:spacing w:after="0" w:line="240" w:lineRule="auto"/>
        <w:jc w:val="both"/>
        <w:rPr>
          <w:rFonts w:asciiTheme="majorHAnsi" w:eastAsia="Arial" w:hAnsiTheme="majorHAnsi" w:cs="Arial"/>
          <w:color w:val="000000"/>
          <w:sz w:val="20"/>
          <w:szCs w:val="20"/>
        </w:rPr>
      </w:pPr>
    </w:p>
    <w:p w14:paraId="777D2D67" w14:textId="77777777" w:rsidR="006978B7" w:rsidRDefault="006978B7" w:rsidP="00A05915">
      <w:pPr>
        <w:pBdr>
          <w:top w:val="nil"/>
          <w:left w:val="nil"/>
          <w:bottom w:val="nil"/>
          <w:right w:val="nil"/>
          <w:between w:val="nil"/>
        </w:pBdr>
        <w:shd w:val="clear" w:color="auto" w:fill="FFFFFF"/>
        <w:spacing w:after="0" w:line="240" w:lineRule="auto"/>
        <w:jc w:val="both"/>
        <w:rPr>
          <w:rFonts w:asciiTheme="majorHAnsi" w:eastAsia="Arial" w:hAnsiTheme="majorHAnsi" w:cs="Arial"/>
          <w:color w:val="000000"/>
          <w:sz w:val="20"/>
          <w:szCs w:val="20"/>
        </w:rPr>
      </w:pPr>
    </w:p>
    <w:p w14:paraId="3AB2EFAA" w14:textId="77777777" w:rsidR="00A05915" w:rsidRPr="0030003B" w:rsidRDefault="00A05915" w:rsidP="00A05915">
      <w:pPr>
        <w:pBdr>
          <w:top w:val="nil"/>
          <w:left w:val="nil"/>
          <w:bottom w:val="nil"/>
          <w:right w:val="nil"/>
          <w:between w:val="nil"/>
        </w:pBdr>
        <w:shd w:val="clear" w:color="auto" w:fill="FFFFFF"/>
        <w:spacing w:after="0" w:line="240" w:lineRule="auto"/>
        <w:jc w:val="both"/>
        <w:rPr>
          <w:rFonts w:asciiTheme="majorHAnsi" w:eastAsia="Times New Roman" w:hAnsiTheme="majorHAnsi" w:cs="Times New Roman"/>
          <w:b/>
          <w:color w:val="000000"/>
          <w:sz w:val="24"/>
          <w:szCs w:val="24"/>
        </w:rPr>
      </w:pPr>
      <w:r w:rsidRPr="0030003B">
        <w:rPr>
          <w:rFonts w:asciiTheme="majorHAnsi" w:eastAsia="Arial" w:hAnsiTheme="majorHAnsi" w:cs="Arial"/>
          <w:b/>
          <w:color w:val="000000"/>
          <w:sz w:val="24"/>
          <w:szCs w:val="24"/>
        </w:rPr>
        <w:lastRenderedPageBreak/>
        <w:t>References:</w:t>
      </w:r>
    </w:p>
    <w:p w14:paraId="7DA1100A" w14:textId="77777777" w:rsidR="00A05915" w:rsidRPr="00A05915" w:rsidRDefault="00A05915" w:rsidP="00A05915">
      <w:pPr>
        <w:pBdr>
          <w:top w:val="nil"/>
          <w:left w:val="nil"/>
          <w:bottom w:val="nil"/>
          <w:right w:val="nil"/>
          <w:between w:val="nil"/>
        </w:pBdr>
        <w:spacing w:after="0" w:line="240" w:lineRule="auto"/>
        <w:rPr>
          <w:rFonts w:asciiTheme="majorHAnsi" w:hAnsiTheme="majorHAnsi"/>
          <w:color w:val="000000"/>
          <w:sz w:val="20"/>
          <w:szCs w:val="20"/>
        </w:rPr>
      </w:pPr>
    </w:p>
    <w:p w14:paraId="5F7F8DAC" w14:textId="77777777" w:rsidR="00A05915" w:rsidRPr="00192B8D" w:rsidRDefault="00A05915" w:rsidP="00A05915">
      <w:pPr>
        <w:pBdr>
          <w:top w:val="nil"/>
          <w:left w:val="nil"/>
          <w:bottom w:val="nil"/>
          <w:right w:val="nil"/>
          <w:between w:val="nil"/>
        </w:pBdr>
        <w:spacing w:after="0" w:line="240" w:lineRule="auto"/>
        <w:ind w:left="720"/>
        <w:jc w:val="both"/>
        <w:rPr>
          <w:rFonts w:asciiTheme="majorHAnsi" w:eastAsia="Arial" w:hAnsiTheme="majorHAnsi" w:cs="Arial"/>
          <w:b/>
          <w:color w:val="000000"/>
          <w:sz w:val="20"/>
          <w:szCs w:val="20"/>
        </w:rPr>
      </w:pPr>
      <w:bookmarkStart w:id="1" w:name="_gjdgxs" w:colFirst="0" w:colLast="0"/>
      <w:bookmarkEnd w:id="1"/>
    </w:p>
    <w:p w14:paraId="4C1D8B6D"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bookmarkStart w:id="2" w:name="_ql31pd492he" w:colFirst="0" w:colLast="0"/>
      <w:bookmarkStart w:id="3" w:name="_srdqiiyb91ax" w:colFirst="0" w:colLast="0"/>
      <w:bookmarkStart w:id="4" w:name="_kdhfd9sebkek" w:colFirst="0" w:colLast="0"/>
      <w:bookmarkStart w:id="5" w:name="_axnwap34ot9r" w:colFirst="0" w:colLast="0"/>
      <w:bookmarkStart w:id="6" w:name="_o05bxpnjd881" w:colFirst="0" w:colLast="0"/>
      <w:bookmarkStart w:id="7" w:name="_nhsnxmheeyuc" w:colFirst="0" w:colLast="0"/>
      <w:bookmarkEnd w:id="2"/>
      <w:bookmarkEnd w:id="3"/>
      <w:bookmarkEnd w:id="4"/>
      <w:bookmarkEnd w:id="5"/>
      <w:bookmarkEnd w:id="6"/>
      <w:bookmarkEnd w:id="7"/>
      <w:r w:rsidRPr="00C037CE">
        <w:rPr>
          <w:rFonts w:asciiTheme="majorHAnsi" w:eastAsia="Arial" w:hAnsiTheme="majorHAnsi" w:cs="Arial"/>
          <w:color w:val="000000"/>
          <w:sz w:val="24"/>
          <w:szCs w:val="24"/>
        </w:rPr>
        <w:t>U</w:t>
      </w:r>
      <w:r w:rsidRPr="001E2AE6">
        <w:rPr>
          <w:rFonts w:asciiTheme="majorHAnsi" w:eastAsia="Arial" w:hAnsiTheme="majorHAnsi" w:cs="Arial"/>
          <w:color w:val="000000"/>
          <w:sz w:val="24"/>
          <w:szCs w:val="24"/>
        </w:rPr>
        <w:t xml:space="preserve">nited </w:t>
      </w:r>
      <w:r w:rsidRPr="00C037CE">
        <w:rPr>
          <w:rFonts w:asciiTheme="majorHAnsi" w:eastAsia="Arial" w:hAnsiTheme="majorHAnsi" w:cs="Arial"/>
          <w:color w:val="000000"/>
          <w:sz w:val="24"/>
          <w:szCs w:val="24"/>
        </w:rPr>
        <w:t>S</w:t>
      </w:r>
      <w:r w:rsidRPr="001E2AE6">
        <w:rPr>
          <w:rFonts w:asciiTheme="majorHAnsi" w:eastAsia="Arial" w:hAnsiTheme="majorHAnsi" w:cs="Arial"/>
          <w:color w:val="000000"/>
          <w:sz w:val="24"/>
          <w:szCs w:val="24"/>
        </w:rPr>
        <w:t>tates</w:t>
      </w:r>
      <w:r w:rsidRPr="00C037CE">
        <w:rPr>
          <w:rFonts w:asciiTheme="majorHAnsi" w:eastAsia="Arial" w:hAnsiTheme="majorHAnsi" w:cs="Arial"/>
          <w:color w:val="000000"/>
          <w:sz w:val="24"/>
          <w:szCs w:val="24"/>
        </w:rPr>
        <w:t xml:space="preserve"> </w:t>
      </w:r>
      <w:r w:rsidRPr="001E2AE6">
        <w:rPr>
          <w:rFonts w:asciiTheme="majorHAnsi" w:eastAsia="Arial" w:hAnsiTheme="majorHAnsi" w:cs="Arial"/>
          <w:color w:val="000000"/>
          <w:sz w:val="24"/>
          <w:szCs w:val="24"/>
        </w:rPr>
        <w:t>G</w:t>
      </w:r>
      <w:r w:rsidRPr="00C037CE">
        <w:rPr>
          <w:rFonts w:asciiTheme="majorHAnsi" w:eastAsia="Arial" w:hAnsiTheme="majorHAnsi" w:cs="Arial"/>
          <w:color w:val="000000"/>
          <w:sz w:val="24"/>
          <w:szCs w:val="24"/>
        </w:rPr>
        <w:t xml:space="preserve">overnment </w:t>
      </w:r>
      <w:r w:rsidRPr="001E2AE6">
        <w:rPr>
          <w:rFonts w:asciiTheme="majorHAnsi" w:eastAsia="Arial" w:hAnsiTheme="majorHAnsi" w:cs="Arial"/>
          <w:color w:val="000000"/>
          <w:sz w:val="24"/>
          <w:szCs w:val="24"/>
        </w:rPr>
        <w:t>P</w:t>
      </w:r>
      <w:r w:rsidRPr="00C037CE">
        <w:rPr>
          <w:rFonts w:asciiTheme="majorHAnsi" w:eastAsia="Arial" w:hAnsiTheme="majorHAnsi" w:cs="Arial"/>
          <w:color w:val="000000"/>
          <w:sz w:val="24"/>
          <w:szCs w:val="24"/>
        </w:rPr>
        <w:t>olicy for Instit</w:t>
      </w:r>
      <w:r w:rsidRPr="001E2AE6">
        <w:rPr>
          <w:rFonts w:asciiTheme="majorHAnsi" w:eastAsia="Arial" w:hAnsiTheme="majorHAnsi" w:cs="Arial"/>
          <w:color w:val="000000"/>
          <w:sz w:val="24"/>
          <w:szCs w:val="24"/>
        </w:rPr>
        <w:t>ut</w:t>
      </w:r>
      <w:r w:rsidRPr="00C037CE">
        <w:rPr>
          <w:rFonts w:asciiTheme="majorHAnsi" w:eastAsia="Arial" w:hAnsiTheme="majorHAnsi" w:cs="Arial"/>
          <w:color w:val="000000"/>
          <w:sz w:val="24"/>
          <w:szCs w:val="24"/>
        </w:rPr>
        <w:t xml:space="preserve">ional </w:t>
      </w:r>
      <w:r w:rsidRPr="001E2AE6">
        <w:rPr>
          <w:rFonts w:asciiTheme="majorHAnsi" w:eastAsia="Arial" w:hAnsiTheme="majorHAnsi" w:cs="Arial"/>
          <w:color w:val="000000"/>
          <w:sz w:val="24"/>
          <w:szCs w:val="24"/>
        </w:rPr>
        <w:t>O</w:t>
      </w:r>
      <w:r w:rsidRPr="00C037CE">
        <w:rPr>
          <w:rFonts w:asciiTheme="majorHAnsi" w:eastAsia="Arial" w:hAnsiTheme="majorHAnsi" w:cs="Arial"/>
          <w:color w:val="000000"/>
          <w:sz w:val="24"/>
          <w:szCs w:val="24"/>
        </w:rPr>
        <w:t xml:space="preserve">versight of </w:t>
      </w:r>
      <w:r w:rsidRPr="001E2AE6">
        <w:rPr>
          <w:rFonts w:asciiTheme="majorHAnsi" w:eastAsia="Arial" w:hAnsiTheme="majorHAnsi" w:cs="Arial"/>
          <w:color w:val="000000"/>
          <w:sz w:val="24"/>
          <w:szCs w:val="24"/>
        </w:rPr>
        <w:t>L</w:t>
      </w:r>
      <w:r w:rsidRPr="00C037CE">
        <w:rPr>
          <w:rFonts w:asciiTheme="majorHAnsi" w:eastAsia="Arial" w:hAnsiTheme="majorHAnsi" w:cs="Arial"/>
          <w:color w:val="000000"/>
          <w:sz w:val="24"/>
          <w:szCs w:val="24"/>
        </w:rPr>
        <w:t xml:space="preserve">ife </w:t>
      </w:r>
      <w:r w:rsidRPr="001E2AE6">
        <w:rPr>
          <w:rFonts w:asciiTheme="majorHAnsi" w:eastAsia="Arial" w:hAnsiTheme="majorHAnsi" w:cs="Arial"/>
          <w:color w:val="000000"/>
          <w:sz w:val="24"/>
          <w:szCs w:val="24"/>
        </w:rPr>
        <w:t>S</w:t>
      </w:r>
      <w:r w:rsidRPr="00C037CE">
        <w:rPr>
          <w:rFonts w:asciiTheme="majorHAnsi" w:eastAsia="Arial" w:hAnsiTheme="majorHAnsi" w:cs="Arial"/>
          <w:color w:val="000000"/>
          <w:sz w:val="24"/>
          <w:szCs w:val="24"/>
        </w:rPr>
        <w:t xml:space="preserve">ciences </w:t>
      </w:r>
      <w:r w:rsidRPr="001E2AE6">
        <w:rPr>
          <w:rFonts w:asciiTheme="majorHAnsi" w:eastAsia="Arial" w:hAnsiTheme="majorHAnsi" w:cs="Arial"/>
          <w:color w:val="000000"/>
          <w:sz w:val="24"/>
          <w:szCs w:val="24"/>
        </w:rPr>
        <w:t>D</w:t>
      </w:r>
      <w:r w:rsidRPr="00C037CE">
        <w:rPr>
          <w:rFonts w:asciiTheme="majorHAnsi" w:eastAsia="Arial" w:hAnsiTheme="majorHAnsi" w:cs="Arial"/>
          <w:color w:val="000000"/>
          <w:sz w:val="24"/>
          <w:szCs w:val="24"/>
        </w:rPr>
        <w:t xml:space="preserve">ual </w:t>
      </w:r>
      <w:r w:rsidRPr="001E2AE6">
        <w:rPr>
          <w:rFonts w:asciiTheme="majorHAnsi" w:eastAsia="Arial" w:hAnsiTheme="majorHAnsi" w:cs="Arial"/>
          <w:color w:val="000000"/>
          <w:sz w:val="24"/>
          <w:szCs w:val="24"/>
        </w:rPr>
        <w:t>U</w:t>
      </w:r>
      <w:r w:rsidRPr="00C037CE">
        <w:rPr>
          <w:rFonts w:asciiTheme="majorHAnsi" w:eastAsia="Arial" w:hAnsiTheme="majorHAnsi" w:cs="Arial"/>
          <w:color w:val="000000"/>
          <w:sz w:val="24"/>
          <w:szCs w:val="24"/>
        </w:rPr>
        <w:t xml:space="preserve">se </w:t>
      </w:r>
      <w:r w:rsidRPr="001E2AE6">
        <w:rPr>
          <w:rFonts w:asciiTheme="majorHAnsi" w:eastAsia="Arial" w:hAnsiTheme="majorHAnsi" w:cs="Arial"/>
          <w:color w:val="000000"/>
          <w:sz w:val="24"/>
          <w:szCs w:val="24"/>
        </w:rPr>
        <w:t>R</w:t>
      </w:r>
      <w:r w:rsidRPr="00C037CE">
        <w:rPr>
          <w:rFonts w:asciiTheme="majorHAnsi" w:eastAsia="Arial" w:hAnsiTheme="majorHAnsi" w:cs="Arial"/>
          <w:color w:val="000000"/>
          <w:sz w:val="24"/>
          <w:szCs w:val="24"/>
        </w:rPr>
        <w:t xml:space="preserve">esearch of </w:t>
      </w:r>
      <w:r w:rsidRPr="001E2AE6">
        <w:rPr>
          <w:rFonts w:asciiTheme="majorHAnsi" w:eastAsia="Arial" w:hAnsiTheme="majorHAnsi" w:cs="Arial"/>
          <w:color w:val="000000"/>
          <w:sz w:val="24"/>
          <w:szCs w:val="24"/>
        </w:rPr>
        <w:t>C</w:t>
      </w:r>
      <w:r w:rsidRPr="00C037CE">
        <w:rPr>
          <w:rFonts w:asciiTheme="majorHAnsi" w:eastAsia="Arial" w:hAnsiTheme="majorHAnsi" w:cs="Arial"/>
          <w:color w:val="000000"/>
          <w:sz w:val="24"/>
          <w:szCs w:val="24"/>
        </w:rPr>
        <w:t xml:space="preserve">oncern 2014. </w:t>
      </w:r>
      <w:hyperlink r:id="rId9" w:history="1">
        <w:r w:rsidRPr="00C037CE">
          <w:rPr>
            <w:color w:val="0000FF"/>
            <w:sz w:val="24"/>
            <w:szCs w:val="24"/>
            <w:u w:val="single"/>
          </w:rPr>
          <w:t>https://www.phe.gov/s3/dualuse/Documents/oversight-durc.pdf</w:t>
        </w:r>
      </w:hyperlink>
    </w:p>
    <w:p w14:paraId="247AB0FC"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r w:rsidRPr="00C037CE">
        <w:rPr>
          <w:rFonts w:asciiTheme="majorHAnsi" w:eastAsia="Arial" w:hAnsiTheme="majorHAnsi" w:cs="Arial"/>
          <w:color w:val="000000"/>
          <w:sz w:val="24"/>
          <w:szCs w:val="24"/>
        </w:rPr>
        <w:t xml:space="preserve">Australia Group Common Control List Handbook. Volume II Biological Weapons-Related Common Control Lists </w:t>
      </w:r>
      <w:hyperlink r:id="rId10" w:history="1">
        <w:r w:rsidRPr="00C037CE">
          <w:rPr>
            <w:color w:val="0000FF"/>
            <w:sz w:val="24"/>
            <w:szCs w:val="24"/>
            <w:u w:val="single"/>
          </w:rPr>
          <w:t>https://australiagroup.net/en/documents/Australia-Group-Common-Control-List-Handbook-Volume-II.pdf</w:t>
        </w:r>
      </w:hyperlink>
    </w:p>
    <w:p w14:paraId="11E48BF7"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r w:rsidRPr="00C037CE">
        <w:rPr>
          <w:rFonts w:asciiTheme="majorHAnsi" w:eastAsia="Arial" w:hAnsiTheme="majorHAnsi" w:cs="Arial"/>
          <w:color w:val="000000"/>
          <w:sz w:val="24"/>
          <w:szCs w:val="24"/>
        </w:rPr>
        <w:t>Anti-Terrorism, Crime and Security Act 2001 (with modifications of 2007 and 2012).</w:t>
      </w:r>
      <w:r w:rsidRPr="00C037CE">
        <w:rPr>
          <w:rFonts w:asciiTheme="majorHAnsi" w:eastAsia="Arial" w:hAnsiTheme="majorHAnsi" w:cs="Arial"/>
          <w:color w:val="000000"/>
          <w:sz w:val="24"/>
          <w:szCs w:val="24"/>
          <w:u w:val="single"/>
        </w:rPr>
        <w:t xml:space="preserve"> </w:t>
      </w:r>
      <w:hyperlink r:id="rId11" w:history="1">
        <w:r w:rsidRPr="00C037CE">
          <w:rPr>
            <w:rStyle w:val="Hyperlink"/>
            <w:rFonts w:asciiTheme="majorHAnsi" w:eastAsia="Arial" w:hAnsiTheme="majorHAnsi" w:cs="Arial"/>
            <w:sz w:val="24"/>
            <w:szCs w:val="24"/>
          </w:rPr>
          <w:t>www.legislation.gov.uk/ukpga/2001/24/contents</w:t>
        </w:r>
      </w:hyperlink>
      <w:r w:rsidRPr="00C037CE">
        <w:rPr>
          <w:rFonts w:asciiTheme="majorHAnsi" w:eastAsia="Arial" w:hAnsiTheme="majorHAnsi" w:cs="Arial"/>
          <w:color w:val="000000"/>
          <w:sz w:val="24"/>
          <w:szCs w:val="24"/>
        </w:rPr>
        <w:t xml:space="preserve">; </w:t>
      </w:r>
    </w:p>
    <w:p w14:paraId="07DA4319"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r w:rsidRPr="00C037CE">
        <w:rPr>
          <w:rFonts w:asciiTheme="majorHAnsi" w:eastAsia="Arial" w:hAnsiTheme="majorHAnsi" w:cs="Arial"/>
          <w:color w:val="000000"/>
          <w:sz w:val="24"/>
          <w:szCs w:val="24"/>
        </w:rPr>
        <w:t xml:space="preserve">OECD guidelines for testing chemicals 2001. </w:t>
      </w:r>
      <w:hyperlink r:id="rId12" w:history="1">
        <w:r w:rsidRPr="00C037CE">
          <w:rPr>
            <w:color w:val="0000FF"/>
            <w:sz w:val="24"/>
            <w:szCs w:val="24"/>
            <w:u w:val="single"/>
          </w:rPr>
          <w:t>https://www.oecd.org/chemicalsafety/risk-assessment/1948378.pdf</w:t>
        </w:r>
      </w:hyperlink>
    </w:p>
    <w:p w14:paraId="5B4CCAAE"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r w:rsidRPr="00C037CE">
        <w:rPr>
          <w:rFonts w:asciiTheme="majorHAnsi" w:eastAsia="Arial" w:hAnsiTheme="majorHAnsi" w:cs="Arial"/>
          <w:color w:val="000000"/>
          <w:sz w:val="24"/>
          <w:szCs w:val="24"/>
        </w:rPr>
        <w:t xml:space="preserve">Biosafety in Microbiological and Biomedical Laboratories. </w:t>
      </w:r>
      <w:hyperlink r:id="rId13" w:history="1">
        <w:r w:rsidRPr="00C037CE">
          <w:rPr>
            <w:rStyle w:val="Hyperlink"/>
            <w:sz w:val="24"/>
            <w:szCs w:val="24"/>
          </w:rPr>
          <w:t>https://www.cdc.gov/labs/BMBL.html</w:t>
        </w:r>
      </w:hyperlink>
    </w:p>
    <w:p w14:paraId="2C0862AF"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r w:rsidRPr="00C037CE">
        <w:rPr>
          <w:rFonts w:asciiTheme="majorHAnsi" w:eastAsia="Arial" w:hAnsiTheme="majorHAnsi" w:cs="Arial"/>
          <w:color w:val="000000"/>
          <w:sz w:val="24"/>
          <w:szCs w:val="24"/>
        </w:rPr>
        <w:t xml:space="preserve">Health and Safety Authority. ADR carriage of dangerous goods by road (2018). A guide for businesses. </w:t>
      </w:r>
      <w:hyperlink r:id="rId14" w:history="1">
        <w:r w:rsidRPr="00C037CE">
          <w:rPr>
            <w:rStyle w:val="Hyperlink"/>
            <w:sz w:val="24"/>
            <w:szCs w:val="24"/>
          </w:rPr>
          <w:t>https://www.hsa.ie/eng/Your_Industry/ADR Carriage_of_Dangerous_Goods_by_Road/New_ADR_Guide_for_Business.pdf</w:t>
        </w:r>
      </w:hyperlink>
    </w:p>
    <w:p w14:paraId="58BE9583" w14:textId="77777777" w:rsidR="006978B7" w:rsidRPr="00C037CE" w:rsidRDefault="006978B7" w:rsidP="006978B7">
      <w:pPr>
        <w:numPr>
          <w:ilvl w:val="0"/>
          <w:numId w:val="7"/>
        </w:numPr>
        <w:pBdr>
          <w:top w:val="nil"/>
          <w:left w:val="nil"/>
          <w:bottom w:val="nil"/>
          <w:right w:val="nil"/>
          <w:between w:val="nil"/>
        </w:pBdr>
        <w:spacing w:after="0" w:line="240" w:lineRule="auto"/>
        <w:rPr>
          <w:rFonts w:asciiTheme="majorHAnsi" w:eastAsia="Arial" w:hAnsiTheme="majorHAnsi" w:cs="Arial"/>
          <w:color w:val="000000"/>
          <w:sz w:val="24"/>
          <w:szCs w:val="24"/>
        </w:rPr>
      </w:pPr>
      <w:r w:rsidRPr="00C037CE">
        <w:rPr>
          <w:rFonts w:asciiTheme="majorHAnsi" w:eastAsia="Arial" w:hAnsiTheme="majorHAnsi" w:cs="Arial"/>
          <w:color w:val="000000"/>
          <w:sz w:val="24"/>
          <w:szCs w:val="24"/>
        </w:rPr>
        <w:t xml:space="preserve">IATA (2019) Dangerous goods regulations </w:t>
      </w:r>
      <w:hyperlink r:id="rId15">
        <w:r w:rsidRPr="00C037CE">
          <w:rPr>
            <w:rFonts w:asciiTheme="majorHAnsi" w:eastAsia="Arial" w:hAnsiTheme="majorHAnsi" w:cs="Arial"/>
            <w:color w:val="1155CC"/>
            <w:sz w:val="24"/>
            <w:szCs w:val="24"/>
            <w:u w:val="single"/>
          </w:rPr>
          <w:t>www.iata.org/whatwedo/cargo/dgr/Documents/DGR-60-EN-significant-changes.pdf</w:t>
        </w:r>
      </w:hyperlink>
    </w:p>
    <w:p w14:paraId="227A9670" w14:textId="77777777" w:rsidR="006978B7" w:rsidRPr="001E2AE6" w:rsidRDefault="006978B7" w:rsidP="006978B7">
      <w:pPr>
        <w:pStyle w:val="ListParagraph"/>
        <w:numPr>
          <w:ilvl w:val="0"/>
          <w:numId w:val="7"/>
        </w:numPr>
        <w:spacing w:after="0" w:line="240" w:lineRule="auto"/>
        <w:jc w:val="both"/>
        <w:rPr>
          <w:rFonts w:asciiTheme="majorHAnsi" w:eastAsia="Arial" w:hAnsiTheme="majorHAnsi" w:cs="Arial"/>
          <w:sz w:val="24"/>
          <w:szCs w:val="24"/>
        </w:rPr>
      </w:pPr>
      <w:r w:rsidRPr="001E2AE6">
        <w:rPr>
          <w:rFonts w:asciiTheme="majorHAnsi" w:eastAsia="Arial" w:hAnsiTheme="majorHAnsi" w:cs="Arial"/>
          <w:sz w:val="24"/>
          <w:szCs w:val="24"/>
        </w:rPr>
        <w:t>Sigma.Aldrich.com</w:t>
      </w:r>
      <w:r w:rsidRPr="00C037CE">
        <w:rPr>
          <w:sz w:val="24"/>
          <w:szCs w:val="24"/>
        </w:rPr>
        <w:t xml:space="preserve"> </w:t>
      </w:r>
      <w:hyperlink r:id="rId16" w:history="1">
        <w:r w:rsidRPr="00C037CE">
          <w:rPr>
            <w:color w:val="0000FF"/>
            <w:sz w:val="24"/>
            <w:szCs w:val="24"/>
            <w:u w:val="single"/>
          </w:rPr>
          <w:t>https://www.sigmaaldrich.com/ireland.html</w:t>
        </w:r>
      </w:hyperlink>
    </w:p>
    <w:p w14:paraId="53EA03FA" w14:textId="77777777" w:rsidR="006978B7" w:rsidRDefault="006978B7" w:rsidP="006978B7">
      <w:pPr>
        <w:pStyle w:val="NoSpacing"/>
        <w:numPr>
          <w:ilvl w:val="0"/>
          <w:numId w:val="7"/>
        </w:numPr>
        <w:rPr>
          <w:sz w:val="24"/>
          <w:szCs w:val="24"/>
        </w:rPr>
      </w:pPr>
      <w:r w:rsidRPr="00C037CE">
        <w:rPr>
          <w:sz w:val="24"/>
          <w:szCs w:val="24"/>
        </w:rPr>
        <w:t xml:space="preserve">University of Tennessee, Knoxville Biosafety Program Environmental Health &amp; Safety </w:t>
      </w:r>
      <w:hyperlink r:id="rId17" w:history="1">
        <w:r w:rsidRPr="001E2AE6">
          <w:rPr>
            <w:rStyle w:val="Hyperlink"/>
            <w:rFonts w:asciiTheme="majorHAnsi" w:eastAsia="Arial" w:hAnsiTheme="majorHAnsi" w:cs="Arial"/>
            <w:sz w:val="24"/>
            <w:szCs w:val="24"/>
          </w:rPr>
          <w:t>https://biosafety.utk.edu/biological-toxins-guidance/</w:t>
        </w:r>
      </w:hyperlink>
    </w:p>
    <w:p w14:paraId="5B992987" w14:textId="721EEE43" w:rsidR="006978B7" w:rsidRPr="00733E74" w:rsidRDefault="006978B7" w:rsidP="0030003B">
      <w:pPr>
        <w:pStyle w:val="NoSpacing"/>
        <w:numPr>
          <w:ilvl w:val="0"/>
          <w:numId w:val="7"/>
        </w:numPr>
        <w:rPr>
          <w:sz w:val="24"/>
          <w:szCs w:val="24"/>
        </w:rPr>
      </w:pPr>
      <w:r>
        <w:t>Anon., Risk Assessment of Azaspiracids (AZAs) in Shellfish, August 2006 - A Report of the Scientific Committee of the Food Safety Authority of Ireland (FSAI). Food Safety Authority of Ireland (FSAI), Abbey Court, Lower Abbey Street, Dublin 1, Ireland. 2006.</w:t>
      </w:r>
    </w:p>
    <w:p w14:paraId="748EA653" w14:textId="20D910DA" w:rsidR="006978B7" w:rsidRPr="00733E74" w:rsidRDefault="006978B7" w:rsidP="0030003B">
      <w:pPr>
        <w:pStyle w:val="NoSpacing"/>
        <w:numPr>
          <w:ilvl w:val="0"/>
          <w:numId w:val="7"/>
        </w:numPr>
        <w:rPr>
          <w:sz w:val="24"/>
          <w:szCs w:val="24"/>
        </w:rPr>
      </w:pPr>
      <w:r w:rsidRPr="00C037CE">
        <w:rPr>
          <w:sz w:val="24"/>
          <w:szCs w:val="24"/>
        </w:rPr>
        <w:t xml:space="preserve">Dhanasekaran </w:t>
      </w:r>
      <w:r w:rsidRPr="00C037CE">
        <w:rPr>
          <w:i/>
          <w:sz w:val="24"/>
          <w:szCs w:val="24"/>
        </w:rPr>
        <w:t>et al</w:t>
      </w:r>
      <w:r w:rsidRPr="00C037CE">
        <w:rPr>
          <w:sz w:val="24"/>
          <w:szCs w:val="24"/>
        </w:rPr>
        <w:t xml:space="preserve">, (2011). Aflatoxins and Aflatoxicosis in Human and Animals, Aflatoxins - Biochemistry and Molecular Biology, Dr. Ramon G. Guevara-Gonzalez (Ed.), ISBN: 978-953-307-395-8, InTech, Available from: </w:t>
      </w:r>
      <w:hyperlink r:id="rId18" w:history="1">
        <w:r w:rsidRPr="001E2AE6">
          <w:rPr>
            <w:rStyle w:val="Hyperlink"/>
            <w:rFonts w:asciiTheme="majorHAnsi" w:eastAsia="Arial" w:hAnsiTheme="majorHAnsi" w:cs="Arial"/>
            <w:sz w:val="24"/>
            <w:szCs w:val="24"/>
          </w:rPr>
          <w:t>http://www.intechopen.com/books/aflatoxinsbiochemistry</w:t>
        </w:r>
      </w:hyperlink>
    </w:p>
    <w:p w14:paraId="6D72CE75" w14:textId="4D601237" w:rsidR="006978B7" w:rsidRPr="0030003B" w:rsidRDefault="006978B7" w:rsidP="00733E74">
      <w:pPr>
        <w:pStyle w:val="NoSpacing"/>
        <w:numPr>
          <w:ilvl w:val="0"/>
          <w:numId w:val="7"/>
        </w:numPr>
        <w:rPr>
          <w:sz w:val="24"/>
          <w:szCs w:val="24"/>
        </w:rPr>
      </w:pPr>
      <w:r w:rsidRPr="00C037CE">
        <w:rPr>
          <w:color w:val="000080"/>
          <w:sz w:val="24"/>
          <w:szCs w:val="24"/>
          <w:shd w:val="clear" w:color="auto" w:fill="FFFFFF"/>
        </w:rPr>
        <w:t>CDC; NIOSH Emergency Response Card: Abrin. April 24, 2003. Available from, as of April 13, 2006: </w:t>
      </w:r>
      <w:hyperlink r:id="rId19" w:tgtFrame="new" w:history="1">
        <w:r w:rsidRPr="00C037CE">
          <w:rPr>
            <w:color w:val="0070C0"/>
            <w:sz w:val="24"/>
            <w:szCs w:val="24"/>
            <w:shd w:val="clear" w:color="auto" w:fill="FFFFFF"/>
          </w:rPr>
          <w:t>http://www.bt.cdc.gov/agent/abrin/erc1393-62-0.asp</w:t>
        </w:r>
      </w:hyperlink>
      <w:r w:rsidRPr="00C037CE">
        <w:rPr>
          <w:color w:val="0070C0"/>
          <w:sz w:val="24"/>
          <w:szCs w:val="24"/>
        </w:rPr>
        <w:t xml:space="preserve"> </w:t>
      </w:r>
    </w:p>
    <w:p w14:paraId="1A0E4EC8" w14:textId="645EEAA7" w:rsidR="00E43C93" w:rsidRPr="0030003B" w:rsidRDefault="006978B7" w:rsidP="0030003B">
      <w:pPr>
        <w:pStyle w:val="NoSpacing"/>
        <w:numPr>
          <w:ilvl w:val="0"/>
          <w:numId w:val="7"/>
        </w:numPr>
        <w:rPr>
          <w:sz w:val="24"/>
          <w:szCs w:val="24"/>
        </w:rPr>
      </w:pPr>
      <w:r w:rsidRPr="0030003B">
        <w:rPr>
          <w:sz w:val="24"/>
          <w:szCs w:val="24"/>
        </w:rPr>
        <w:t>Toxins and Known LD50 Values - UAB</w:t>
      </w:r>
      <w:r w:rsidRPr="00154F3E">
        <w:t xml:space="preserve"> </w:t>
      </w:r>
      <w:hyperlink r:id="rId20" w:history="1">
        <w:r w:rsidRPr="00733E74">
          <w:rPr>
            <w:color w:val="0000FF"/>
            <w:u w:val="single"/>
          </w:rPr>
          <w:t>https://www.uab.cat/doc/DL50_biotoxines</w:t>
        </w:r>
      </w:hyperlink>
    </w:p>
    <w:sectPr w:rsidR="00E43C93" w:rsidRPr="0030003B">
      <w:headerReference w:type="even" r:id="rId21"/>
      <w:headerReference w:type="default" r:id="rId22"/>
      <w:footerReference w:type="default" r:id="rId23"/>
      <w:headerReference w:type="first" r:id="rId24"/>
      <w:footnotePr>
        <w:pos w:val="beneathText"/>
      </w:foot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A5D6" w14:textId="77777777" w:rsidR="00C36569" w:rsidRDefault="00C36569">
      <w:pPr>
        <w:spacing w:after="0" w:line="240" w:lineRule="auto"/>
      </w:pPr>
      <w:r>
        <w:separator/>
      </w:r>
    </w:p>
  </w:endnote>
  <w:endnote w:type="continuationSeparator" w:id="0">
    <w:p w14:paraId="16809A8B" w14:textId="77777777" w:rsidR="00C36569" w:rsidRDefault="00C3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51412"/>
      <w:docPartObj>
        <w:docPartGallery w:val="Page Numbers (Bottom of Page)"/>
        <w:docPartUnique/>
      </w:docPartObj>
    </w:sdtPr>
    <w:sdtEndPr>
      <w:rPr>
        <w:noProof/>
      </w:rPr>
    </w:sdtEndPr>
    <w:sdtContent>
      <w:p w14:paraId="498DF8B0" w14:textId="6A546738" w:rsidR="00D609C5" w:rsidRDefault="00D609C5">
        <w:pPr>
          <w:pStyle w:val="Footer"/>
          <w:jc w:val="right"/>
        </w:pPr>
        <w:r>
          <w:fldChar w:fldCharType="begin"/>
        </w:r>
        <w:r>
          <w:instrText xml:space="preserve"> PAGE   \* MERGEFORMAT </w:instrText>
        </w:r>
        <w:r>
          <w:fldChar w:fldCharType="separate"/>
        </w:r>
        <w:r w:rsidR="008F3ACC">
          <w:rPr>
            <w:noProof/>
          </w:rPr>
          <w:t>2</w:t>
        </w:r>
        <w:r>
          <w:rPr>
            <w:noProof/>
          </w:rPr>
          <w:fldChar w:fldCharType="end"/>
        </w:r>
      </w:p>
    </w:sdtContent>
  </w:sdt>
  <w:p w14:paraId="378297EA" w14:textId="77777777" w:rsidR="00D609C5" w:rsidRDefault="00D6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E916" w14:textId="77777777" w:rsidR="00C36569" w:rsidRDefault="00C36569">
      <w:pPr>
        <w:spacing w:after="0" w:line="240" w:lineRule="auto"/>
      </w:pPr>
      <w:r>
        <w:separator/>
      </w:r>
    </w:p>
  </w:footnote>
  <w:footnote w:type="continuationSeparator" w:id="0">
    <w:p w14:paraId="0D2F2A61" w14:textId="77777777" w:rsidR="00C36569" w:rsidRDefault="00C3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F7A9" w14:textId="42E63B3F" w:rsidR="00874110" w:rsidRDefault="00874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B03E" w14:textId="77777777" w:rsidR="00874110" w:rsidRDefault="00874110">
    <w:pPr>
      <w:pBdr>
        <w:top w:val="nil"/>
        <w:left w:val="nil"/>
        <w:bottom w:val="nil"/>
        <w:right w:val="nil"/>
        <w:between w:val="nil"/>
      </w:pBdr>
      <w:tabs>
        <w:tab w:val="center" w:pos="4513"/>
        <w:tab w:val="right" w:pos="9026"/>
      </w:tabs>
      <w:spacing w:after="0" w:line="240" w:lineRule="auto"/>
      <w:jc w:val="right"/>
      <w:rPr>
        <w:color w:val="000000"/>
      </w:rPr>
    </w:pPr>
  </w:p>
  <w:p w14:paraId="00141D48" w14:textId="77777777" w:rsidR="00874110" w:rsidRDefault="00874110">
    <w:pPr>
      <w:pBdr>
        <w:top w:val="nil"/>
        <w:left w:val="nil"/>
        <w:bottom w:val="nil"/>
        <w:right w:val="nil"/>
        <w:between w:val="nil"/>
      </w:pBdr>
      <w:tabs>
        <w:tab w:val="center" w:pos="4513"/>
        <w:tab w:val="right" w:pos="9026"/>
      </w:tabs>
      <w:spacing w:after="0" w:line="240" w:lineRule="auto"/>
    </w:pPr>
  </w:p>
  <w:p w14:paraId="1EB41612" w14:textId="157BC7AA" w:rsidR="00874110" w:rsidRDefault="00874110">
    <w:pPr>
      <w:pBdr>
        <w:top w:val="nil"/>
        <w:left w:val="nil"/>
        <w:bottom w:val="nil"/>
        <w:right w:val="nil"/>
        <w:between w:val="nil"/>
      </w:pBdr>
      <w:tabs>
        <w:tab w:val="center" w:pos="4513"/>
        <w:tab w:val="right" w:pos="9026"/>
      </w:tabs>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1694" w14:textId="25DDA3EB" w:rsidR="00874110" w:rsidRDefault="0087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E62"/>
    <w:multiLevelType w:val="multilevel"/>
    <w:tmpl w:val="94A291B0"/>
    <w:lvl w:ilvl="0">
      <w:start w:val="4"/>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5B03D81"/>
    <w:multiLevelType w:val="multilevel"/>
    <w:tmpl w:val="86804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F9259B"/>
    <w:multiLevelType w:val="hybridMultilevel"/>
    <w:tmpl w:val="A3B61C9A"/>
    <w:lvl w:ilvl="0" w:tplc="0809000F">
      <w:start w:val="1"/>
      <w:numFmt w:val="decimal"/>
      <w:lvlText w:val="%1."/>
      <w:lvlJc w:val="left"/>
      <w:pPr>
        <w:ind w:left="1206" w:hanging="360"/>
      </w:p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28046467"/>
    <w:multiLevelType w:val="multilevel"/>
    <w:tmpl w:val="3E525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0121D0"/>
    <w:multiLevelType w:val="hybridMultilevel"/>
    <w:tmpl w:val="C99E5B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1FD0D5B"/>
    <w:multiLevelType w:val="multilevel"/>
    <w:tmpl w:val="1688DC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3BE6245"/>
    <w:multiLevelType w:val="multilevel"/>
    <w:tmpl w:val="F792407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93"/>
    <w:rsid w:val="000A1CE5"/>
    <w:rsid w:val="00192B8D"/>
    <w:rsid w:val="001C51B4"/>
    <w:rsid w:val="001F1560"/>
    <w:rsid w:val="00295F33"/>
    <w:rsid w:val="002B0A15"/>
    <w:rsid w:val="002C2E35"/>
    <w:rsid w:val="0030003B"/>
    <w:rsid w:val="003B6173"/>
    <w:rsid w:val="003F45EC"/>
    <w:rsid w:val="004031D4"/>
    <w:rsid w:val="00457817"/>
    <w:rsid w:val="00485D6C"/>
    <w:rsid w:val="004A6CE0"/>
    <w:rsid w:val="005053A7"/>
    <w:rsid w:val="005173E3"/>
    <w:rsid w:val="00565CA2"/>
    <w:rsid w:val="00576B37"/>
    <w:rsid w:val="005C2A95"/>
    <w:rsid w:val="005E0A7D"/>
    <w:rsid w:val="006035FC"/>
    <w:rsid w:val="00610525"/>
    <w:rsid w:val="006978B7"/>
    <w:rsid w:val="00733E74"/>
    <w:rsid w:val="00796F6D"/>
    <w:rsid w:val="007C4066"/>
    <w:rsid w:val="007C4927"/>
    <w:rsid w:val="007C492A"/>
    <w:rsid w:val="0080473C"/>
    <w:rsid w:val="008164DA"/>
    <w:rsid w:val="0085442D"/>
    <w:rsid w:val="00874110"/>
    <w:rsid w:val="00874632"/>
    <w:rsid w:val="008F2077"/>
    <w:rsid w:val="008F3ACC"/>
    <w:rsid w:val="0091790C"/>
    <w:rsid w:val="0095398E"/>
    <w:rsid w:val="00960575"/>
    <w:rsid w:val="009752DA"/>
    <w:rsid w:val="009F12F2"/>
    <w:rsid w:val="00A05915"/>
    <w:rsid w:val="00AC4E11"/>
    <w:rsid w:val="00AF69D6"/>
    <w:rsid w:val="00B04C3B"/>
    <w:rsid w:val="00B365D4"/>
    <w:rsid w:val="00B406A4"/>
    <w:rsid w:val="00C36569"/>
    <w:rsid w:val="00C97208"/>
    <w:rsid w:val="00CC2049"/>
    <w:rsid w:val="00CC615B"/>
    <w:rsid w:val="00CD6D7B"/>
    <w:rsid w:val="00D609C5"/>
    <w:rsid w:val="00D84D26"/>
    <w:rsid w:val="00D9358C"/>
    <w:rsid w:val="00DA0DA9"/>
    <w:rsid w:val="00DC4A80"/>
    <w:rsid w:val="00DD21BE"/>
    <w:rsid w:val="00E11D6B"/>
    <w:rsid w:val="00E13C6A"/>
    <w:rsid w:val="00E347B0"/>
    <w:rsid w:val="00E43C93"/>
    <w:rsid w:val="00EA0FAA"/>
    <w:rsid w:val="00EC7EA4"/>
    <w:rsid w:val="00EE3B83"/>
    <w:rsid w:val="00FA18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5CF1"/>
  <w15:docId w15:val="{FE3F6B18-596A-46DD-A340-D1185389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295F33"/>
    <w:rPr>
      <w:sz w:val="16"/>
      <w:szCs w:val="16"/>
    </w:rPr>
  </w:style>
  <w:style w:type="paragraph" w:styleId="CommentText">
    <w:name w:val="annotation text"/>
    <w:basedOn w:val="Normal"/>
    <w:link w:val="CommentTextChar"/>
    <w:uiPriority w:val="99"/>
    <w:semiHidden/>
    <w:unhideWhenUsed/>
    <w:rsid w:val="00295F33"/>
    <w:pPr>
      <w:spacing w:line="240" w:lineRule="auto"/>
    </w:pPr>
    <w:rPr>
      <w:sz w:val="20"/>
      <w:szCs w:val="20"/>
    </w:rPr>
  </w:style>
  <w:style w:type="character" w:customStyle="1" w:styleId="CommentTextChar">
    <w:name w:val="Comment Text Char"/>
    <w:basedOn w:val="DefaultParagraphFont"/>
    <w:link w:val="CommentText"/>
    <w:uiPriority w:val="99"/>
    <w:semiHidden/>
    <w:rsid w:val="00295F33"/>
    <w:rPr>
      <w:sz w:val="20"/>
      <w:szCs w:val="20"/>
    </w:rPr>
  </w:style>
  <w:style w:type="paragraph" w:styleId="CommentSubject">
    <w:name w:val="annotation subject"/>
    <w:basedOn w:val="CommentText"/>
    <w:next w:val="CommentText"/>
    <w:link w:val="CommentSubjectChar"/>
    <w:uiPriority w:val="99"/>
    <w:semiHidden/>
    <w:unhideWhenUsed/>
    <w:rsid w:val="00295F33"/>
    <w:rPr>
      <w:b/>
      <w:bCs/>
    </w:rPr>
  </w:style>
  <w:style w:type="character" w:customStyle="1" w:styleId="CommentSubjectChar">
    <w:name w:val="Comment Subject Char"/>
    <w:basedOn w:val="CommentTextChar"/>
    <w:link w:val="CommentSubject"/>
    <w:uiPriority w:val="99"/>
    <w:semiHidden/>
    <w:rsid w:val="00295F33"/>
    <w:rPr>
      <w:b/>
      <w:bCs/>
      <w:sz w:val="20"/>
      <w:szCs w:val="20"/>
    </w:rPr>
  </w:style>
  <w:style w:type="paragraph" w:styleId="BalloonText">
    <w:name w:val="Balloon Text"/>
    <w:basedOn w:val="Normal"/>
    <w:link w:val="BalloonTextChar"/>
    <w:uiPriority w:val="99"/>
    <w:semiHidden/>
    <w:unhideWhenUsed/>
    <w:rsid w:val="00295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33"/>
    <w:rPr>
      <w:rFonts w:ascii="Segoe UI" w:hAnsi="Segoe UI" w:cs="Segoe UI"/>
      <w:sz w:val="18"/>
      <w:szCs w:val="18"/>
    </w:rPr>
  </w:style>
  <w:style w:type="paragraph" w:styleId="FootnoteText">
    <w:name w:val="footnote text"/>
    <w:basedOn w:val="Normal"/>
    <w:link w:val="FootnoteTextChar"/>
    <w:uiPriority w:val="99"/>
    <w:semiHidden/>
    <w:unhideWhenUsed/>
    <w:rsid w:val="002B0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A15"/>
    <w:rPr>
      <w:sz w:val="20"/>
      <w:szCs w:val="20"/>
    </w:rPr>
  </w:style>
  <w:style w:type="character" w:styleId="FootnoteReference">
    <w:name w:val="footnote reference"/>
    <w:basedOn w:val="DefaultParagraphFont"/>
    <w:uiPriority w:val="99"/>
    <w:semiHidden/>
    <w:unhideWhenUsed/>
    <w:rsid w:val="002B0A15"/>
    <w:rPr>
      <w:vertAlign w:val="superscript"/>
    </w:rPr>
  </w:style>
  <w:style w:type="paragraph" w:styleId="NoSpacing">
    <w:name w:val="No Spacing"/>
    <w:uiPriority w:val="1"/>
    <w:qFormat/>
    <w:rsid w:val="00CD6D7B"/>
    <w:pPr>
      <w:spacing w:after="0" w:line="240" w:lineRule="auto"/>
    </w:pPr>
  </w:style>
  <w:style w:type="paragraph" w:styleId="ListParagraph">
    <w:name w:val="List Paragraph"/>
    <w:basedOn w:val="Normal"/>
    <w:uiPriority w:val="34"/>
    <w:qFormat/>
    <w:rsid w:val="00A05915"/>
    <w:pPr>
      <w:ind w:left="720"/>
      <w:contextualSpacing/>
    </w:pPr>
  </w:style>
  <w:style w:type="paragraph" w:styleId="Header">
    <w:name w:val="header"/>
    <w:basedOn w:val="Normal"/>
    <w:link w:val="HeaderChar"/>
    <w:uiPriority w:val="99"/>
    <w:unhideWhenUsed/>
    <w:rsid w:val="0080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3C"/>
  </w:style>
  <w:style w:type="paragraph" w:styleId="Footer">
    <w:name w:val="footer"/>
    <w:basedOn w:val="Normal"/>
    <w:link w:val="FooterChar"/>
    <w:uiPriority w:val="99"/>
    <w:unhideWhenUsed/>
    <w:rsid w:val="0080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3C"/>
  </w:style>
  <w:style w:type="character" w:styleId="Hyperlink">
    <w:name w:val="Hyperlink"/>
    <w:basedOn w:val="DefaultParagraphFont"/>
    <w:uiPriority w:val="99"/>
    <w:unhideWhenUsed/>
    <w:rsid w:val="00DD21BE"/>
    <w:rPr>
      <w:color w:val="0000FF"/>
      <w:u w:val="single"/>
    </w:rPr>
  </w:style>
  <w:style w:type="character" w:styleId="FollowedHyperlink">
    <w:name w:val="FollowedHyperlink"/>
    <w:basedOn w:val="DefaultParagraphFont"/>
    <w:uiPriority w:val="99"/>
    <w:semiHidden/>
    <w:unhideWhenUsed/>
    <w:rsid w:val="00565CA2"/>
    <w:rPr>
      <w:color w:val="800080" w:themeColor="followedHyperlink"/>
      <w:u w:val="single"/>
    </w:rPr>
  </w:style>
  <w:style w:type="table" w:styleId="TableGrid">
    <w:name w:val="Table Grid"/>
    <w:basedOn w:val="TableNormal"/>
    <w:uiPriority w:val="59"/>
    <w:rsid w:val="00D9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0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andsafety.manchester.ac.uk/toolkits/returns/schedule5pathogensandtoxins/schedule5list/" TargetMode="External"/><Relationship Id="rId13" Type="http://schemas.openxmlformats.org/officeDocument/2006/relationships/hyperlink" Target="https://www.cdc.gov/labs/BMBL.html" TargetMode="External"/><Relationship Id="rId18" Type="http://schemas.openxmlformats.org/officeDocument/2006/relationships/hyperlink" Target="http://www.intechopen.com/books/aflatoxinsbiochemist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dc.gov/vaccines/hcp/acip-recs/vacc-specific/tdap-td.html" TargetMode="External"/><Relationship Id="rId12" Type="http://schemas.openxmlformats.org/officeDocument/2006/relationships/hyperlink" Target="https://www.oecd.org/chemicalsafety/risk-assessment/1948378.pdf" TargetMode="External"/><Relationship Id="rId17" Type="http://schemas.openxmlformats.org/officeDocument/2006/relationships/hyperlink" Target="https://biosafety.utk.edu/biological-toxins-guid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gmaaldrich.com/ireland.html" TargetMode="External"/><Relationship Id="rId20" Type="http://schemas.openxmlformats.org/officeDocument/2006/relationships/hyperlink" Target="https://www.uab.cat/doc/DL50_biotox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1/24/content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ata.org/whatwedo/cargo/dgr/Documents/DGR-60-EN-significant-changes.pdf" TargetMode="External"/><Relationship Id="rId23" Type="http://schemas.openxmlformats.org/officeDocument/2006/relationships/footer" Target="footer1.xml"/><Relationship Id="rId10" Type="http://schemas.openxmlformats.org/officeDocument/2006/relationships/hyperlink" Target="https://australiagroup.net/en/documents/Australia-Group-Common-Control-List-Handbook-Volume-II.pdf" TargetMode="External"/><Relationship Id="rId19" Type="http://schemas.openxmlformats.org/officeDocument/2006/relationships/hyperlink" Target="http://www.bt.cdc.gov/agent/abrin/erc1393-62-0.asp" TargetMode="External"/><Relationship Id="rId4" Type="http://schemas.openxmlformats.org/officeDocument/2006/relationships/webSettings" Target="webSettings.xml"/><Relationship Id="rId9" Type="http://schemas.openxmlformats.org/officeDocument/2006/relationships/hyperlink" Target="https://www.phe.gov/s3/dualuse/Documents/oversight-durc.pdf" TargetMode="External"/><Relationship Id="rId14" Type="http://schemas.openxmlformats.org/officeDocument/2006/relationships/hyperlink" Target="https://www.hsa.ie/eng/Your_Industry/ADR%20Carriage_of_Dangerous_Goods_by_Road/New_ADR_Guide_for_Business.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Burke</dc:creator>
  <cp:lastModifiedBy>Grace Hickey</cp:lastModifiedBy>
  <cp:revision>2</cp:revision>
  <cp:lastPrinted>2019-10-31T12:33:00Z</cp:lastPrinted>
  <dcterms:created xsi:type="dcterms:W3CDTF">2020-03-12T09:19:00Z</dcterms:created>
  <dcterms:modified xsi:type="dcterms:W3CDTF">2020-03-12T09:19:00Z</dcterms:modified>
</cp:coreProperties>
</file>